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1F9" w:rsidRPr="00602B22" w:rsidRDefault="00E511F9" w:rsidP="00E511F9">
      <w:pPr>
        <w:spacing w:line="288" w:lineRule="auto"/>
        <w:jc w:val="center"/>
        <w:rPr>
          <w:rFonts w:ascii="Century Gothic" w:hAnsi="Century Gothic"/>
          <w:sz w:val="22"/>
          <w:szCs w:val="22"/>
        </w:rPr>
      </w:pPr>
      <w:r w:rsidRPr="00602B22">
        <w:rPr>
          <w:rFonts w:ascii="Century Gothic" w:hAnsi="Century Gothic"/>
          <w:b/>
          <w:bCs/>
          <w:sz w:val="22"/>
          <w:szCs w:val="22"/>
        </w:rPr>
        <w:t>CRITERIOS CONSENSUADOS PARA LA CALIFICACIÓN DE ANTECEDENTES</w:t>
      </w:r>
    </w:p>
    <w:p w:rsidR="00E511F9" w:rsidRPr="00602B22" w:rsidRDefault="00E511F9" w:rsidP="00E511F9">
      <w:pPr>
        <w:spacing w:line="288" w:lineRule="auto"/>
        <w:jc w:val="center"/>
        <w:rPr>
          <w:rFonts w:ascii="Century Gothic" w:hAnsi="Century Gothic"/>
          <w:sz w:val="22"/>
          <w:szCs w:val="22"/>
        </w:rPr>
      </w:pPr>
      <w:r w:rsidRPr="00602B22">
        <w:rPr>
          <w:rFonts w:ascii="Century Gothic" w:hAnsi="Century Gothic"/>
          <w:b/>
          <w:bCs/>
          <w:sz w:val="22"/>
          <w:szCs w:val="22"/>
        </w:rPr>
        <w:t>DEL CONSEJO DE LA MAGISTRATURA DE LA PROVINCIA DE ENTRE RÍOS</w:t>
      </w:r>
    </w:p>
    <w:p w:rsidR="00E511F9" w:rsidRPr="00602B22" w:rsidRDefault="00E511F9" w:rsidP="00E511F9">
      <w:pPr>
        <w:pStyle w:val="Textbody"/>
        <w:spacing w:line="288" w:lineRule="auto"/>
        <w:jc w:val="both"/>
        <w:rPr>
          <w:rFonts w:ascii="Century Gothic" w:hAnsi="Century Gothic" w:cs="Arial"/>
          <w:sz w:val="22"/>
          <w:szCs w:val="22"/>
        </w:rPr>
      </w:pPr>
    </w:p>
    <w:p w:rsidR="00E511F9" w:rsidRPr="00602B22" w:rsidRDefault="00E511F9" w:rsidP="00E511F9">
      <w:pPr>
        <w:pStyle w:val="Textbody"/>
        <w:spacing w:line="288" w:lineRule="auto"/>
        <w:jc w:val="both"/>
        <w:rPr>
          <w:rFonts w:ascii="Century Gothic" w:hAnsi="Century Gothic" w:cs="Arial"/>
          <w:sz w:val="22"/>
          <w:szCs w:val="22"/>
        </w:rPr>
      </w:pPr>
      <w:r w:rsidRPr="00602B22">
        <w:rPr>
          <w:rFonts w:ascii="Century Gothic" w:hAnsi="Century Gothic" w:cs="Arial"/>
          <w:sz w:val="22"/>
          <w:szCs w:val="22"/>
        </w:rPr>
        <w:t xml:space="preserve">A fin de dar cumplimiento a lo ordenado en el artículo 22 de la Ley N°11227 y el </w:t>
      </w:r>
      <w:bookmarkStart w:id="0" w:name="_GoBack"/>
      <w:bookmarkEnd w:id="0"/>
      <w:r w:rsidRPr="00602B22">
        <w:rPr>
          <w:rFonts w:ascii="Century Gothic" w:hAnsi="Century Gothic" w:cs="Arial"/>
          <w:sz w:val="22"/>
          <w:szCs w:val="22"/>
        </w:rPr>
        <w:t>Decreto Reglamentario N°3814/2025 GOB, modificado por Decreto N°731/2026 GOB, se establecen los siguientes parámetros y criterios para la etapa de evaluación de antecedentes.</w:t>
      </w:r>
    </w:p>
    <w:p w:rsidR="00E511F9" w:rsidRPr="00602B22" w:rsidRDefault="00E511F9" w:rsidP="00E511F9">
      <w:pPr>
        <w:pStyle w:val="Textbody"/>
        <w:spacing w:line="288" w:lineRule="auto"/>
        <w:jc w:val="both"/>
        <w:rPr>
          <w:rFonts w:ascii="Century Gothic" w:hAnsi="Century Gothic" w:cs="Arial"/>
          <w:sz w:val="22"/>
          <w:szCs w:val="22"/>
        </w:rPr>
      </w:pPr>
      <w:r w:rsidRPr="00602B22">
        <w:rPr>
          <w:rFonts w:ascii="Century Gothic" w:hAnsi="Century Gothic" w:cs="Arial"/>
          <w:sz w:val="22"/>
          <w:szCs w:val="22"/>
        </w:rPr>
        <w:t>De acuerdo a lo establecido en la normativa correspondiente, se adjudican hasta dieciocho (18) puntos por la antigüedad en el Poder Judicial y el ejercicio de la abogacía; hasta tres (3) puntos por la experiencia en la materia, hasta ocho (8) puntos por los antecedentes académicos y, finalmente, hasta un (1) punto por tareas de cuidado con perspectiva de género.</w:t>
      </w:r>
    </w:p>
    <w:p w:rsidR="00E511F9" w:rsidRPr="00602B22" w:rsidRDefault="00E511F9" w:rsidP="00E511F9">
      <w:pPr>
        <w:pStyle w:val="NormalWeb"/>
        <w:shd w:val="clear" w:color="auto" w:fill="FFFFFF"/>
        <w:spacing w:before="0" w:beforeAutospacing="0" w:after="0" w:afterAutospacing="0" w:line="288" w:lineRule="auto"/>
        <w:ind w:left="360"/>
        <w:rPr>
          <w:rStyle w:val="Textoennegrita"/>
          <w:rFonts w:ascii="Century Gothic" w:hAnsi="Century Gothic" w:cs="Arial"/>
          <w:sz w:val="22"/>
          <w:szCs w:val="22"/>
        </w:rPr>
      </w:pPr>
    </w:p>
    <w:p w:rsidR="00E511F9" w:rsidRPr="00602B22" w:rsidRDefault="00E511F9" w:rsidP="00E511F9">
      <w:pPr>
        <w:pStyle w:val="NormalWeb"/>
        <w:numPr>
          <w:ilvl w:val="0"/>
          <w:numId w:val="3"/>
        </w:numPr>
        <w:shd w:val="clear" w:color="auto" w:fill="FFFFFF"/>
        <w:spacing w:before="0" w:beforeAutospacing="0" w:after="0" w:afterAutospacing="0" w:line="288" w:lineRule="auto"/>
        <w:ind w:left="142" w:hanging="141"/>
        <w:rPr>
          <w:rStyle w:val="Textoennegrita"/>
          <w:rFonts w:ascii="Century Gothic" w:hAnsi="Century Gothic" w:cs="Arial"/>
          <w:sz w:val="22"/>
          <w:szCs w:val="22"/>
        </w:rPr>
      </w:pPr>
      <w:r w:rsidRPr="00602B22">
        <w:rPr>
          <w:rStyle w:val="Textoennegrita"/>
          <w:rFonts w:ascii="Century Gothic" w:hAnsi="Century Gothic" w:cs="Arial"/>
          <w:sz w:val="22"/>
          <w:szCs w:val="22"/>
        </w:rPr>
        <w:t xml:space="preserve"> RUBRO ANTIGÜEDAD</w:t>
      </w:r>
    </w:p>
    <w:p w:rsidR="00E511F9" w:rsidRPr="00602B22" w:rsidRDefault="00E511F9" w:rsidP="00E511F9">
      <w:pPr>
        <w:pStyle w:val="NormalWeb"/>
        <w:shd w:val="clear" w:color="auto" w:fill="FFFFFF"/>
        <w:spacing w:before="0" w:beforeAutospacing="0" w:after="0" w:afterAutospacing="0" w:line="288" w:lineRule="auto"/>
        <w:rPr>
          <w:rStyle w:val="Textoennegrita"/>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rPr>
          <w:rStyle w:val="Textoennegrita"/>
          <w:rFonts w:ascii="Century Gothic" w:hAnsi="Century Gothic" w:cs="Arial"/>
          <w:sz w:val="22"/>
          <w:szCs w:val="22"/>
        </w:rPr>
      </w:pPr>
      <w:r w:rsidRPr="00602B22">
        <w:rPr>
          <w:rStyle w:val="Textoennegrita"/>
          <w:rFonts w:ascii="Century Gothic" w:hAnsi="Century Gothic" w:cs="Arial"/>
          <w:sz w:val="22"/>
          <w:szCs w:val="22"/>
        </w:rPr>
        <w:t>CRITERIOS GENERALES</w:t>
      </w:r>
    </w:p>
    <w:p w:rsidR="00E511F9" w:rsidRPr="00602B22" w:rsidRDefault="00E511F9" w:rsidP="00E511F9">
      <w:pPr>
        <w:spacing w:line="288" w:lineRule="auto"/>
        <w:jc w:val="both"/>
        <w:rPr>
          <w:rFonts w:ascii="Century Gothic" w:hAnsi="Century Gothic"/>
          <w:sz w:val="22"/>
          <w:szCs w:val="22"/>
        </w:rPr>
      </w:pPr>
    </w:p>
    <w:p w:rsidR="00E511F9" w:rsidRPr="00602B22" w:rsidRDefault="00E511F9" w:rsidP="00E511F9">
      <w:pPr>
        <w:spacing w:line="288" w:lineRule="auto"/>
        <w:jc w:val="both"/>
        <w:rPr>
          <w:rFonts w:ascii="Century Gothic" w:hAnsi="Century Gothic"/>
          <w:sz w:val="22"/>
          <w:szCs w:val="22"/>
        </w:rPr>
      </w:pPr>
      <w:r w:rsidRPr="00602B22">
        <w:rPr>
          <w:rFonts w:ascii="Century Gothic" w:hAnsi="Century Gothic"/>
          <w:sz w:val="22"/>
          <w:szCs w:val="22"/>
        </w:rPr>
        <w:t>1. En los casos de cargos cuya designación definitiva requiera la intervención del Consejo de la Magistratura de Entre Ríos, el puntaje previsto en este rubro se asignará únicamente cuando el acceso al cargo se haya producido mediante los mecanismos constitucionales de designación como titular, previo concurso aprobado.</w:t>
      </w:r>
    </w:p>
    <w:p w:rsidR="00E511F9" w:rsidRPr="00602B22" w:rsidRDefault="00E511F9" w:rsidP="00E511F9">
      <w:pPr>
        <w:spacing w:line="288" w:lineRule="auto"/>
        <w:jc w:val="both"/>
        <w:rPr>
          <w:rFonts w:ascii="Century Gothic" w:hAnsi="Century Gothic"/>
          <w:sz w:val="22"/>
          <w:szCs w:val="22"/>
        </w:rPr>
      </w:pPr>
      <w:r w:rsidRPr="00602B22">
        <w:rPr>
          <w:rFonts w:ascii="Century Gothic" w:hAnsi="Century Gothic"/>
          <w:sz w:val="22"/>
          <w:szCs w:val="22"/>
        </w:rPr>
        <w:t>No obstante, el desempeño en cargos en carácter de suplente, interino u otro que no revista la calidad de titular por concurso, será calificado con el mismo puntaje que el correspondiente al titular, siempre que la designación se hubiere efectuado respetando el orden de mérito del último concurso realizado por el Consejo de la Magistratura de Entre Ríos para ese cargo y en la misma jurisdicción departamental, circunstancia que el postulante deberá enunciar en su solicitud de inscripción.</w:t>
      </w:r>
    </w:p>
    <w:p w:rsidR="00E511F9" w:rsidRPr="00602B22" w:rsidRDefault="00E511F9" w:rsidP="00E511F9">
      <w:pPr>
        <w:spacing w:line="288" w:lineRule="auto"/>
        <w:jc w:val="both"/>
        <w:rPr>
          <w:rFonts w:ascii="Century Gothic" w:hAnsi="Century Gothic"/>
          <w:sz w:val="22"/>
          <w:szCs w:val="22"/>
        </w:rPr>
      </w:pPr>
      <w:r w:rsidRPr="00602B22">
        <w:rPr>
          <w:rFonts w:ascii="Century Gothic" w:hAnsi="Century Gothic"/>
          <w:sz w:val="22"/>
          <w:szCs w:val="22"/>
        </w:rPr>
        <w:t xml:space="preserve">En caso de no reunirse tales condiciones, el desempeño será calificado con el puntaje asignado al cargo inmediato inferior al efectivamente ejercido, conforme a las escalas previstas en el punto I. ANTIGÜEDAD, apartados A.1. </w:t>
      </w:r>
      <w:proofErr w:type="gramStart"/>
      <w:r w:rsidRPr="00602B22">
        <w:rPr>
          <w:rFonts w:ascii="Century Gothic" w:hAnsi="Century Gothic"/>
          <w:sz w:val="22"/>
          <w:szCs w:val="22"/>
        </w:rPr>
        <w:t>o</w:t>
      </w:r>
      <w:proofErr w:type="gramEnd"/>
      <w:r w:rsidRPr="00602B22">
        <w:rPr>
          <w:rFonts w:ascii="Century Gothic" w:hAnsi="Century Gothic"/>
          <w:sz w:val="22"/>
          <w:szCs w:val="22"/>
        </w:rPr>
        <w:t xml:space="preserve"> B.1., según corresponda.</w:t>
      </w:r>
    </w:p>
    <w:p w:rsidR="00E511F9" w:rsidRPr="00602B22" w:rsidRDefault="00E511F9" w:rsidP="00E511F9">
      <w:pPr>
        <w:pStyle w:val="Textbody"/>
        <w:spacing w:line="288" w:lineRule="auto"/>
        <w:jc w:val="both"/>
        <w:rPr>
          <w:rFonts w:ascii="Century Gothic" w:hAnsi="Century Gothic" w:cs="Arial"/>
          <w:sz w:val="22"/>
          <w:szCs w:val="22"/>
        </w:rPr>
      </w:pPr>
    </w:p>
    <w:p w:rsidR="00E511F9" w:rsidRPr="00602B22" w:rsidRDefault="00E511F9" w:rsidP="00E511F9">
      <w:pPr>
        <w:pStyle w:val="Textbody"/>
        <w:spacing w:line="288" w:lineRule="auto"/>
        <w:jc w:val="both"/>
        <w:rPr>
          <w:rFonts w:ascii="Century Gothic" w:hAnsi="Century Gothic" w:cs="Arial"/>
          <w:sz w:val="22"/>
          <w:szCs w:val="22"/>
        </w:rPr>
      </w:pPr>
      <w:r w:rsidRPr="00602B22">
        <w:rPr>
          <w:rFonts w:ascii="Century Gothic" w:hAnsi="Century Gothic" w:cs="Arial"/>
          <w:sz w:val="22"/>
          <w:szCs w:val="22"/>
        </w:rPr>
        <w:t xml:space="preserve">2. El puntaje que se otorga en el rubro antigüedad se calcula por año o fracción mayor a 6 (seis) meses en cargos en el Poder Judicial o en la matrícula profesional. </w:t>
      </w:r>
      <w:r w:rsidRPr="00602B22">
        <w:rPr>
          <w:rFonts w:ascii="Century Gothic" w:hAnsi="Century Gothic" w:cs="Arial"/>
          <w:sz w:val="22"/>
          <w:szCs w:val="22"/>
        </w:rPr>
        <w:lastRenderedPageBreak/>
        <w:t xml:space="preserve">Aquellos profesionales que presenten antecedentes en ambas categorías, se les sumarán los puntos que le correspondan por cada una de ellas, de manera independiente. </w:t>
      </w:r>
    </w:p>
    <w:p w:rsidR="00E511F9" w:rsidRPr="00602B22" w:rsidRDefault="00E511F9" w:rsidP="00E511F9">
      <w:pPr>
        <w:pStyle w:val="Textbody"/>
        <w:spacing w:line="288" w:lineRule="auto"/>
        <w:jc w:val="both"/>
        <w:rPr>
          <w:rFonts w:ascii="Century Gothic" w:hAnsi="Century Gothic" w:cs="Arial"/>
          <w:sz w:val="22"/>
          <w:szCs w:val="22"/>
        </w:rPr>
      </w:pPr>
    </w:p>
    <w:p w:rsidR="00E511F9" w:rsidRPr="00602B22" w:rsidRDefault="00E511F9" w:rsidP="00E511F9">
      <w:pPr>
        <w:pStyle w:val="Textbody"/>
        <w:spacing w:line="288" w:lineRule="auto"/>
        <w:jc w:val="both"/>
        <w:rPr>
          <w:rFonts w:ascii="Century Gothic" w:hAnsi="Century Gothic"/>
          <w:sz w:val="22"/>
          <w:szCs w:val="22"/>
        </w:rPr>
      </w:pPr>
      <w:r w:rsidRPr="00602B22">
        <w:rPr>
          <w:rFonts w:ascii="Century Gothic" w:hAnsi="Century Gothic" w:cs="Arial"/>
          <w:sz w:val="22"/>
          <w:szCs w:val="22"/>
        </w:rPr>
        <w:t xml:space="preserve">3. </w:t>
      </w:r>
      <w:r w:rsidRPr="00602B22">
        <w:rPr>
          <w:rFonts w:ascii="Century Gothic" w:hAnsi="Century Gothic"/>
          <w:sz w:val="22"/>
          <w:szCs w:val="22"/>
        </w:rPr>
        <w:t>Cuando se evalúe el desempeño de un postulante en el Poder Judicial de otra provincia o de la Nación, el Plenario procederá, en cada caso, a equiparar los cargos desempeñados con aquellos de jerarquía equivalente previstos en la escala establecida en el presente régimen. A tales fines, se considerarán las disposiciones contenidas en las leyes orgánicas de los poderes judiciales provinciales y en las normas de organización judicial de la Nación.</w:t>
      </w:r>
    </w:p>
    <w:p w:rsidR="00E511F9" w:rsidRPr="00602B22" w:rsidRDefault="00E511F9" w:rsidP="00E511F9">
      <w:pPr>
        <w:spacing w:line="288" w:lineRule="auto"/>
        <w:jc w:val="both"/>
        <w:rPr>
          <w:rFonts w:ascii="Century Gothic" w:hAnsi="Century Gothic" w:cs="Arial"/>
          <w:sz w:val="22"/>
          <w:szCs w:val="22"/>
        </w:rPr>
      </w:pPr>
      <w:r w:rsidRPr="00602B22">
        <w:rPr>
          <w:rFonts w:ascii="Century Gothic" w:hAnsi="Century Gothic" w:cs="Arial"/>
          <w:sz w:val="22"/>
          <w:szCs w:val="22"/>
        </w:rPr>
        <w:br/>
        <w:t xml:space="preserve">4. Situaciones particulares: A) Desempeño en el cargo de Relator o Prosecretario Administrativo de la Justicia Federal o Nacional: queda equiparado al cargo de Delegado Judicial. B) Desempeño en el cargo de Secretario de la Procuración Gral. </w:t>
      </w:r>
      <w:proofErr w:type="gramStart"/>
      <w:r w:rsidRPr="00602B22">
        <w:rPr>
          <w:rFonts w:ascii="Century Gothic" w:hAnsi="Century Gothic" w:cs="Arial"/>
          <w:sz w:val="22"/>
          <w:szCs w:val="22"/>
        </w:rPr>
        <w:t>y</w:t>
      </w:r>
      <w:proofErr w:type="gramEnd"/>
      <w:r w:rsidRPr="00602B22">
        <w:rPr>
          <w:rFonts w:ascii="Century Gothic" w:hAnsi="Century Gothic" w:cs="Arial"/>
          <w:sz w:val="22"/>
          <w:szCs w:val="22"/>
        </w:rPr>
        <w:t xml:space="preserve"> Secretario de la Defensoría Gral., quedan equiparados al cargo de Secretario del S.T.J. C) Desempeño en calidad de Fiscal Auxiliar transitorio, se clasifica en la escala  1.1.b). D) A los fines de la adecuada clasificación del cargo de Director, el concursante deberá acreditar las funciones efectivamente asignadas, así como las competencias, facultades y demás circunstancias que permitan determinar su naturaleza y características. En función de ello, el Plenario procederá a su encuadramiento en alguno de los ítems del punto 1.1. (A o B, según corresponda).</w:t>
      </w:r>
    </w:p>
    <w:p w:rsidR="00E511F9" w:rsidRPr="00602B22" w:rsidRDefault="00E511F9" w:rsidP="00E511F9">
      <w:pPr>
        <w:pStyle w:val="NormalWeb"/>
        <w:shd w:val="clear" w:color="auto" w:fill="FFFFFF"/>
        <w:spacing w:before="0" w:beforeAutospacing="0" w:after="0" w:afterAutospacing="0"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A - CONCURSOS PARA CARGOS DE PRIMERA INSTANCIA</w:t>
      </w:r>
      <w:r w:rsidRPr="00602B22">
        <w:rPr>
          <w:rFonts w:ascii="Century Gothic" w:hAnsi="Century Gothic" w:cs="Arial"/>
          <w:sz w:val="22"/>
          <w:szCs w:val="22"/>
        </w:rPr>
        <w:t xml:space="preserve">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AGENTES FISCALES Y DEFENSORES PÚBLICOS, FISCALES AUXILIARES Y DEFENSORES AUXILIARES. JUECES DE PRIMERA INSTANCIA: CIVIL Y COMERCIAL; CONCURSOS Y QUIEBRAS; TRABAJO; GARANTÍAS; EJECUCIÓN DE PENAS Y MEDIDAS DE SEGURIDAD; FAMILIA Y PENAL DE NIÑOS Y ADOLESCENTES, JUECES DE PAZ, ETC.</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b/>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u w:val="single"/>
        </w:rPr>
      </w:pPr>
      <w:r w:rsidRPr="00602B22">
        <w:rPr>
          <w:rFonts w:ascii="Century Gothic" w:hAnsi="Century Gothic" w:cs="Arial"/>
          <w:b/>
          <w:sz w:val="22"/>
          <w:szCs w:val="22"/>
        </w:rPr>
        <w:t>1.</w:t>
      </w:r>
      <w:r w:rsidRPr="00602B22">
        <w:rPr>
          <w:rFonts w:ascii="Century Gothic" w:hAnsi="Century Gothic" w:cs="Arial"/>
          <w:sz w:val="22"/>
          <w:szCs w:val="22"/>
        </w:rPr>
        <w:t> </w:t>
      </w:r>
      <w:r w:rsidRPr="00602B22">
        <w:rPr>
          <w:rFonts w:ascii="Century Gothic" w:hAnsi="Century Gothic" w:cs="Arial"/>
          <w:sz w:val="22"/>
          <w:szCs w:val="22"/>
          <w:u w:val="single"/>
        </w:rPr>
        <w:t>Antigüedad en el Poder Judicial</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1.1.</w:t>
      </w:r>
      <w:r w:rsidRPr="00602B22">
        <w:rPr>
          <w:rFonts w:ascii="Century Gothic" w:hAnsi="Century Gothic" w:cs="Arial"/>
          <w:sz w:val="22"/>
          <w:szCs w:val="22"/>
        </w:rPr>
        <w:t> Cargos judiciales anteriores al de Secretario y empleados en general:</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-Computan puntaje a partir de la fecha en que obtuvieron el título de abogado.</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a) Se otorgan 0,50 puntos por cada año de desempeño, con un tope de 10 puntos.</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lastRenderedPageBreak/>
        <w:t>b) Se otorgan 0,70 puntos por cada año de desempeño en los cargos de Delegado Judicial, Mediador Penal, Secretario de Juzgado de Paz, con un tope de 12 puntos.</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1.2.</w:t>
      </w:r>
      <w:r w:rsidRPr="00602B22">
        <w:rPr>
          <w:rFonts w:ascii="Century Gothic" w:hAnsi="Century Gothic" w:cs="Arial"/>
          <w:sz w:val="22"/>
          <w:szCs w:val="22"/>
        </w:rPr>
        <w:t> Secretarios de primera instancia y Secretarios del Ministerio Público:</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xml:space="preserve"> - Se otorga 1 punto por cada año de desempeño.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1.3.</w:t>
      </w:r>
      <w:r w:rsidRPr="00602B22">
        <w:rPr>
          <w:rFonts w:ascii="Century Gothic" w:hAnsi="Century Gothic" w:cs="Arial"/>
          <w:sz w:val="22"/>
          <w:szCs w:val="22"/>
        </w:rPr>
        <w:t xml:space="preserve"> Jueces de Paz, Relatores y Secretarios de Segunda o Superior Instancia: </w:t>
      </w:r>
    </w:p>
    <w:p w:rsidR="00E511F9" w:rsidRPr="00602B22" w:rsidRDefault="00E511F9" w:rsidP="00E511F9">
      <w:pPr>
        <w:pStyle w:val="NormalWeb"/>
        <w:shd w:val="clear" w:color="auto" w:fill="FFFFFF"/>
        <w:spacing w:before="0" w:beforeAutospacing="0" w:after="0" w:afterAutospacing="0" w:line="288" w:lineRule="auto"/>
        <w:ind w:left="1416" w:firstLine="708"/>
        <w:jc w:val="both"/>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Se otorgan 1,25 puntos por cada año de desempeño.</w:t>
      </w:r>
    </w:p>
    <w:p w:rsidR="00E511F9" w:rsidRPr="00602B22" w:rsidRDefault="00E511F9" w:rsidP="00E511F9">
      <w:pPr>
        <w:pStyle w:val="NormalWeb"/>
        <w:shd w:val="clear" w:color="auto" w:fill="FFFFFF"/>
        <w:spacing w:before="0" w:beforeAutospacing="0" w:after="0" w:afterAutospacing="0" w:line="288" w:lineRule="auto"/>
        <w:ind w:left="2127"/>
        <w:jc w:val="both"/>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1.4.</w:t>
      </w:r>
      <w:r w:rsidRPr="00602B22">
        <w:rPr>
          <w:rFonts w:ascii="Century Gothic" w:hAnsi="Century Gothic" w:cs="Arial"/>
          <w:sz w:val="22"/>
          <w:szCs w:val="22"/>
        </w:rPr>
        <w:t xml:space="preserve"> Defensores Públicos, Agentes Fiscales, Defensores Auxiliares, Fiscales </w:t>
      </w:r>
      <w:proofErr w:type="gramStart"/>
      <w:r w:rsidRPr="00602B22">
        <w:rPr>
          <w:rFonts w:ascii="Century Gothic" w:hAnsi="Century Gothic" w:cs="Arial"/>
          <w:sz w:val="22"/>
          <w:szCs w:val="22"/>
        </w:rPr>
        <w:t>Auxiliares  y</w:t>
      </w:r>
      <w:proofErr w:type="gramEnd"/>
      <w:r w:rsidRPr="00602B22">
        <w:rPr>
          <w:rFonts w:ascii="Century Gothic" w:hAnsi="Century Gothic" w:cs="Arial"/>
          <w:sz w:val="22"/>
          <w:szCs w:val="22"/>
        </w:rPr>
        <w:t xml:space="preserve"> Jueces de primera instancia:</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Se otorgan 1,50 puntos por cada año de desempeño.</w:t>
      </w:r>
      <w:r w:rsidRPr="00602B22">
        <w:rPr>
          <w:rFonts w:ascii="Century Gothic" w:hAnsi="Century Gothic" w:cs="Arial"/>
          <w:sz w:val="22"/>
          <w:szCs w:val="22"/>
          <w:highlight w:val="yellow"/>
        </w:rPr>
        <w:t xml:space="preserve">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1.5</w:t>
      </w:r>
      <w:r w:rsidRPr="00602B22">
        <w:rPr>
          <w:rFonts w:ascii="Century Gothic" w:hAnsi="Century Gothic" w:cs="Arial"/>
          <w:sz w:val="22"/>
          <w:szCs w:val="22"/>
        </w:rPr>
        <w:t>. Magistrados, Fiscales y Defensores de Segunda o Superior instancia:</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 Se otorgan 1,70 puntos por cada año de desempeño.</w:t>
      </w:r>
      <w:r w:rsidRPr="00602B22">
        <w:rPr>
          <w:rFonts w:ascii="Century Gothic" w:hAnsi="Century Gothic" w:cs="Arial"/>
          <w:sz w:val="22"/>
          <w:szCs w:val="22"/>
          <w:highlight w:val="yellow"/>
        </w:rPr>
        <w:t xml:space="preserve">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2.</w:t>
      </w:r>
      <w:r w:rsidRPr="00602B22">
        <w:rPr>
          <w:rFonts w:ascii="Century Gothic" w:hAnsi="Century Gothic" w:cs="Arial"/>
          <w:sz w:val="22"/>
          <w:szCs w:val="22"/>
        </w:rPr>
        <w:t> </w:t>
      </w:r>
      <w:r w:rsidRPr="00602B22">
        <w:rPr>
          <w:rFonts w:ascii="Century Gothic" w:hAnsi="Century Gothic" w:cs="Arial"/>
          <w:sz w:val="22"/>
          <w:szCs w:val="22"/>
          <w:u w:val="single"/>
        </w:rPr>
        <w:t>Antigüedad en el ejercicio profesional</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numPr>
          <w:ilvl w:val="0"/>
          <w:numId w:val="2"/>
        </w:numPr>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xml:space="preserve">De 1 a 5 años: se otorga 1 punto por cada año de desempeño. </w:t>
      </w:r>
    </w:p>
    <w:p w:rsidR="00E511F9" w:rsidRPr="00602B22" w:rsidRDefault="00E511F9" w:rsidP="00E511F9">
      <w:pPr>
        <w:pStyle w:val="NormalWeb"/>
        <w:numPr>
          <w:ilvl w:val="0"/>
          <w:numId w:val="2"/>
        </w:numPr>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De 6 años en adelante: se otorgan 1,50 puntos por cada año de desempeño.</w:t>
      </w:r>
    </w:p>
    <w:p w:rsidR="00E511F9" w:rsidRPr="00602B22" w:rsidRDefault="00E511F9" w:rsidP="00E511F9">
      <w:pPr>
        <w:pStyle w:val="NormalWeb"/>
        <w:shd w:val="clear" w:color="auto" w:fill="FFFFFF"/>
        <w:spacing w:before="0" w:beforeAutospacing="0" w:after="0" w:afterAutospacing="0" w:line="288" w:lineRule="auto"/>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b/>
          <w:sz w:val="22"/>
          <w:szCs w:val="22"/>
        </w:rPr>
      </w:pPr>
      <w:r w:rsidRPr="00602B22">
        <w:rPr>
          <w:rFonts w:ascii="Century Gothic" w:hAnsi="Century Gothic" w:cs="Arial"/>
          <w:b/>
          <w:sz w:val="22"/>
          <w:szCs w:val="22"/>
        </w:rPr>
        <w:t xml:space="preserve">B - CONCURSOS PARA CARGOS DE SEGUNDA INSTANCIA Y SUPERIORES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VOCALES, PROCURADORES ADJUNTOS, DEFENSORES ADJUNTOS, FISCALES DE CÁMARA/COORDINACIÓN Y DEFENSORES DE COORDINACIÓN/CASACIÓN.</w:t>
      </w:r>
    </w:p>
    <w:p w:rsidR="00E511F9" w:rsidRPr="00602B22" w:rsidRDefault="00E511F9" w:rsidP="00E511F9">
      <w:pPr>
        <w:pStyle w:val="NormalWeb"/>
        <w:shd w:val="clear" w:color="auto" w:fill="FFFFFF"/>
        <w:spacing w:before="0" w:beforeAutospacing="0" w:after="0" w:afterAutospacing="0"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1.</w:t>
      </w:r>
      <w:r w:rsidRPr="00602B22">
        <w:rPr>
          <w:rFonts w:ascii="Century Gothic" w:hAnsi="Century Gothic" w:cs="Arial"/>
          <w:sz w:val="22"/>
          <w:szCs w:val="22"/>
        </w:rPr>
        <w:t xml:space="preserve"> </w:t>
      </w:r>
      <w:r w:rsidRPr="00602B22">
        <w:rPr>
          <w:rFonts w:ascii="Century Gothic" w:hAnsi="Century Gothic" w:cs="Arial"/>
          <w:sz w:val="22"/>
          <w:szCs w:val="22"/>
          <w:u w:val="single"/>
        </w:rPr>
        <w:t>Antigüedad en el Poder Judicial</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b/>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lastRenderedPageBreak/>
        <w:t>1.1.</w:t>
      </w:r>
      <w:r w:rsidRPr="00602B22">
        <w:rPr>
          <w:rFonts w:ascii="Century Gothic" w:hAnsi="Century Gothic" w:cs="Arial"/>
          <w:sz w:val="22"/>
          <w:szCs w:val="22"/>
        </w:rPr>
        <w:t> Cargos Judiciales anteriores al de Secretario y empleados en general:</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Computan puntaje a partir de la obtención del título de abogado.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a) Se otorgan 0,30 puntos por cada año de desempeño, con un tope de 10 puntos.</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b) Se otorgan 0,50 puntos por cada año de desempeño en los cargos de Delegado Judicial, Mediador Penal, Secretario de Juzgado de Paz, con un tope de 12 puntos.</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1.2.</w:t>
      </w:r>
      <w:r w:rsidRPr="00602B22">
        <w:rPr>
          <w:rFonts w:ascii="Century Gothic" w:hAnsi="Century Gothic" w:cs="Arial"/>
          <w:sz w:val="22"/>
          <w:szCs w:val="22"/>
        </w:rPr>
        <w:t> Secretarios de primera instancia y Secretarios del Ministerio Público:</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xml:space="preserve">- Se otorgan 0,80 puntos por cada año de desempeño.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1.3.</w:t>
      </w:r>
      <w:r w:rsidRPr="00602B22">
        <w:rPr>
          <w:rFonts w:ascii="Century Gothic" w:hAnsi="Century Gothic" w:cs="Arial"/>
          <w:sz w:val="22"/>
          <w:szCs w:val="22"/>
        </w:rPr>
        <w:t xml:space="preserve"> Jueces de Paz, Relatores, y Secretarios de Segunda o Superior Instancia:</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xml:space="preserve">- Se otorga 1 punto por cada año de desempeño.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1.4.</w:t>
      </w:r>
      <w:r w:rsidRPr="00602B22">
        <w:rPr>
          <w:rFonts w:ascii="Century Gothic" w:hAnsi="Century Gothic" w:cs="Arial"/>
          <w:sz w:val="22"/>
          <w:szCs w:val="22"/>
        </w:rPr>
        <w:t> Defensores Públicos, Agentes Fiscales, Defensores Auxiliares, Fiscales Auxiliares y Jueces de primera instancia:</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xml:space="preserve">- Se otorgan 1,25 puntos por cada año de desempeño.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1.5.</w:t>
      </w:r>
      <w:r w:rsidRPr="00602B22">
        <w:rPr>
          <w:rFonts w:ascii="Century Gothic" w:hAnsi="Century Gothic" w:cs="Arial"/>
          <w:sz w:val="22"/>
          <w:szCs w:val="22"/>
        </w:rPr>
        <w:t> Magistrados, Fiscales y Defensores de Segunda o Superior instancia:</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xml:space="preserve">- Se otorga 1,50 puntos por cada año de desempeño.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b/>
          <w:sz w:val="22"/>
          <w:szCs w:val="22"/>
        </w:rPr>
        <w:t> 2.</w:t>
      </w:r>
      <w:r w:rsidRPr="00602B22">
        <w:rPr>
          <w:rFonts w:ascii="Century Gothic" w:hAnsi="Century Gothic" w:cs="Arial"/>
          <w:sz w:val="22"/>
          <w:szCs w:val="22"/>
        </w:rPr>
        <w:t> </w:t>
      </w:r>
      <w:r w:rsidRPr="00602B22">
        <w:rPr>
          <w:rFonts w:ascii="Century Gothic" w:hAnsi="Century Gothic" w:cs="Arial"/>
          <w:sz w:val="22"/>
          <w:szCs w:val="22"/>
          <w:u w:val="single"/>
        </w:rPr>
        <w:t>Antigüedad en el ejercicio profesional</w:t>
      </w:r>
    </w:p>
    <w:p w:rsidR="00E511F9" w:rsidRPr="00602B22" w:rsidRDefault="00E511F9" w:rsidP="00E511F9">
      <w:pPr>
        <w:pStyle w:val="NormalWeb"/>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pStyle w:val="NormalWeb"/>
        <w:numPr>
          <w:ilvl w:val="0"/>
          <w:numId w:val="2"/>
        </w:numPr>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 xml:space="preserve">De 1 a 5 años: se otorgan 0,80 puntos por cada año de desempeño. </w:t>
      </w:r>
    </w:p>
    <w:p w:rsidR="00E511F9" w:rsidRPr="00602B22" w:rsidRDefault="00E511F9" w:rsidP="00E511F9">
      <w:pPr>
        <w:pStyle w:val="NormalWeb"/>
        <w:numPr>
          <w:ilvl w:val="0"/>
          <w:numId w:val="2"/>
        </w:numPr>
        <w:shd w:val="clear" w:color="auto" w:fill="FFFFFF"/>
        <w:spacing w:before="0" w:beforeAutospacing="0" w:after="0" w:afterAutospacing="0" w:line="288" w:lineRule="auto"/>
        <w:jc w:val="both"/>
        <w:rPr>
          <w:rFonts w:ascii="Century Gothic" w:hAnsi="Century Gothic" w:cs="Arial"/>
          <w:sz w:val="22"/>
          <w:szCs w:val="22"/>
        </w:rPr>
      </w:pPr>
      <w:r w:rsidRPr="00602B22">
        <w:rPr>
          <w:rFonts w:ascii="Century Gothic" w:hAnsi="Century Gothic" w:cs="Arial"/>
          <w:sz w:val="22"/>
          <w:szCs w:val="22"/>
        </w:rPr>
        <w:t>De 6 años en adelante: se otorgan 1,25 puntos por cada año de desempeño.</w:t>
      </w:r>
    </w:p>
    <w:p w:rsidR="00E511F9" w:rsidRPr="00602B22" w:rsidRDefault="00E511F9" w:rsidP="00E511F9">
      <w:pPr>
        <w:pStyle w:val="NormalWeb"/>
        <w:shd w:val="clear" w:color="auto" w:fill="FFFFFF"/>
        <w:spacing w:before="0" w:beforeAutospacing="0" w:after="0" w:afterAutospacing="0" w:line="288" w:lineRule="auto"/>
        <w:rPr>
          <w:rFonts w:ascii="Century Gothic" w:hAnsi="Century Gothic" w:cs="Arial"/>
          <w:sz w:val="22"/>
          <w:szCs w:val="22"/>
        </w:rPr>
      </w:pPr>
    </w:p>
    <w:p w:rsidR="00E511F9" w:rsidRPr="00602B22" w:rsidRDefault="00E511F9" w:rsidP="00E511F9">
      <w:pPr>
        <w:pStyle w:val="NormalWeb"/>
        <w:shd w:val="clear" w:color="auto" w:fill="FFFFFF"/>
        <w:spacing w:before="0" w:beforeAutospacing="0" w:after="0" w:afterAutospacing="0" w:line="288" w:lineRule="auto"/>
        <w:rPr>
          <w:rFonts w:ascii="Century Gothic" w:hAnsi="Century Gothic" w:cs="Arial"/>
          <w:sz w:val="22"/>
          <w:szCs w:val="22"/>
        </w:rPr>
      </w:pPr>
    </w:p>
    <w:p w:rsidR="00E511F9" w:rsidRPr="00602B22" w:rsidRDefault="00E511F9" w:rsidP="00E511F9">
      <w:pPr>
        <w:pStyle w:val="Prrafodelista"/>
        <w:numPr>
          <w:ilvl w:val="0"/>
          <w:numId w:val="3"/>
        </w:numPr>
        <w:shd w:val="clear" w:color="auto" w:fill="FFFFFF"/>
        <w:tabs>
          <w:tab w:val="left" w:pos="709"/>
        </w:tabs>
        <w:spacing w:after="0" w:line="288" w:lineRule="auto"/>
        <w:ind w:left="284" w:hanging="284"/>
        <w:rPr>
          <w:rFonts w:ascii="Century Gothic" w:eastAsia="Times New Roman" w:hAnsi="Century Gothic" w:cs="Arial"/>
          <w:b/>
          <w:bCs/>
          <w:lang w:eastAsia="es-AR"/>
        </w:rPr>
      </w:pPr>
      <w:r w:rsidRPr="00602B22">
        <w:rPr>
          <w:rFonts w:ascii="Century Gothic" w:eastAsia="Times New Roman" w:hAnsi="Century Gothic" w:cs="Arial"/>
          <w:b/>
          <w:bCs/>
          <w:lang w:eastAsia="es-AR"/>
        </w:rPr>
        <w:t>RUBRO EXPERIENCIA EN LA MATERIA</w:t>
      </w:r>
    </w:p>
    <w:p w:rsidR="00E511F9" w:rsidRPr="00602B22" w:rsidRDefault="00E511F9" w:rsidP="00E511F9">
      <w:pPr>
        <w:shd w:val="clear" w:color="auto" w:fill="FFFFFF"/>
        <w:spacing w:line="288" w:lineRule="auto"/>
        <w:rPr>
          <w:rFonts w:ascii="Century Gothic" w:hAnsi="Century Gothic"/>
          <w:sz w:val="22"/>
          <w:szCs w:val="22"/>
        </w:rPr>
      </w:pPr>
    </w:p>
    <w:p w:rsidR="00E511F9" w:rsidRPr="00602B22" w:rsidRDefault="00E511F9" w:rsidP="00E511F9">
      <w:pPr>
        <w:spacing w:line="288" w:lineRule="auto"/>
        <w:jc w:val="both"/>
        <w:rPr>
          <w:rFonts w:ascii="Century Gothic" w:hAnsi="Century Gothic"/>
          <w:sz w:val="22"/>
          <w:szCs w:val="22"/>
        </w:rPr>
      </w:pPr>
      <w:r w:rsidRPr="00602B22">
        <w:rPr>
          <w:rFonts w:ascii="Century Gothic" w:hAnsi="Century Gothic"/>
          <w:sz w:val="22"/>
          <w:szCs w:val="22"/>
        </w:rPr>
        <w:t xml:space="preserve">El puntaje a adjudicar surge de la aplicación de un porcentaje de la calificación obtenida en el rubro Antigüedad, aunque solo serán objeto de cálculo exclusivamente los años que el aspirante pruebe efectivamente haberse desempeñado en la materia de la misma especialidad del cargo que concursa. El </w:t>
      </w:r>
      <w:r w:rsidRPr="00602B22">
        <w:rPr>
          <w:rFonts w:ascii="Century Gothic" w:hAnsi="Century Gothic"/>
          <w:sz w:val="22"/>
          <w:szCs w:val="22"/>
        </w:rPr>
        <w:lastRenderedPageBreak/>
        <w:t>postulante obtendrá así el máximo puntaje posible en este concepto (3 pts.), cuando posea el tope en Antigüedad (18 pts.) desempeñándose en el fuero que concursa, ya sea en el ejercicio profesional y/o en funciones judiciales.</w:t>
      </w:r>
    </w:p>
    <w:p w:rsidR="00E511F9" w:rsidRPr="00602B22" w:rsidRDefault="00E511F9" w:rsidP="00E511F9">
      <w:pPr>
        <w:shd w:val="clear" w:color="auto" w:fill="FFFFFF"/>
        <w:tabs>
          <w:tab w:val="left" w:pos="0"/>
        </w:tabs>
        <w:spacing w:after="12" w:line="288" w:lineRule="auto"/>
        <w:jc w:val="both"/>
        <w:outlineLvl w:val="0"/>
        <w:rPr>
          <w:rFonts w:ascii="Century Gothic" w:hAnsi="Century Gothic"/>
          <w:kern w:val="36"/>
          <w:sz w:val="22"/>
          <w:szCs w:val="22"/>
        </w:rPr>
      </w:pPr>
      <w:r w:rsidRPr="00602B22">
        <w:rPr>
          <w:rFonts w:ascii="Century Gothic" w:hAnsi="Century Gothic"/>
          <w:sz w:val="22"/>
          <w:szCs w:val="22"/>
        </w:rPr>
        <w:t>En caso de empleos o funciones desempeñadas de carácter público, honorario o rentado por designación, elección o contratación, el concursante podrá adjuntar copia del acto, contrato aprobado o certificado respectivo, que certifique su ingreso al empleo o función pública y que indique su carácter (titular, suplente, interino, etc.). El profesional podrá también acompañar una descripción de las tareas realizadas en dicho cargo o función, si las mismas no surgen explícitamente del contrato o certificado pertinente.</w:t>
      </w:r>
    </w:p>
    <w:p w:rsidR="00E511F9" w:rsidRPr="00602B22" w:rsidRDefault="00E511F9" w:rsidP="00E511F9">
      <w:pPr>
        <w:shd w:val="clear" w:color="auto" w:fill="FFFFFF"/>
        <w:tabs>
          <w:tab w:val="left" w:pos="0"/>
        </w:tabs>
        <w:spacing w:line="288" w:lineRule="auto"/>
        <w:jc w:val="both"/>
        <w:rPr>
          <w:rFonts w:ascii="Century Gothic" w:hAnsi="Century Gothic"/>
          <w:sz w:val="22"/>
          <w:szCs w:val="22"/>
        </w:rPr>
      </w:pPr>
      <w:r w:rsidRPr="00602B22">
        <w:rPr>
          <w:rFonts w:ascii="Century Gothic" w:hAnsi="Century Gothic"/>
          <w:sz w:val="22"/>
          <w:szCs w:val="22"/>
        </w:rPr>
        <w:t>En caso de desempeño en relación de dependencia en entidades privadas, podrá adjuntar el contrato respectivo, y certificación suscripta por el superior jerárquico inmediato, de ser materialmente posible, que indique la</w:t>
      </w:r>
      <w:proofErr w:type="gramStart"/>
      <w:r w:rsidRPr="00602B22">
        <w:rPr>
          <w:rFonts w:ascii="Century Gothic" w:hAnsi="Century Gothic"/>
          <w:sz w:val="22"/>
          <w:szCs w:val="22"/>
        </w:rPr>
        <w:t>  duración</w:t>
      </w:r>
      <w:proofErr w:type="gramEnd"/>
      <w:r w:rsidRPr="00602B22">
        <w:rPr>
          <w:rFonts w:ascii="Century Gothic" w:hAnsi="Century Gothic"/>
          <w:sz w:val="22"/>
          <w:szCs w:val="22"/>
        </w:rPr>
        <w:t xml:space="preserve"> de la relación  contractual y las tareas desempeñadas. Cuando se registre desempeño en empleos o funciones de carácter público-privado en relación de dependencia, o se invoque participación en causas judiciales como apoderado/</w:t>
      </w:r>
      <w:proofErr w:type="spellStart"/>
      <w:r w:rsidRPr="00602B22">
        <w:rPr>
          <w:rFonts w:ascii="Century Gothic" w:hAnsi="Century Gothic"/>
          <w:sz w:val="22"/>
          <w:szCs w:val="22"/>
        </w:rPr>
        <w:t>patrocinante</w:t>
      </w:r>
      <w:proofErr w:type="spellEnd"/>
      <w:r w:rsidRPr="00602B22">
        <w:rPr>
          <w:rFonts w:ascii="Century Gothic" w:hAnsi="Century Gothic"/>
          <w:sz w:val="22"/>
          <w:szCs w:val="22"/>
        </w:rPr>
        <w:t xml:space="preserve">, podrá acompañarse un listado de aportes emitido por la caja forense respectiva, </w:t>
      </w:r>
      <w:r w:rsidRPr="00602B22">
        <w:rPr>
          <w:rFonts w:ascii="Century Gothic" w:hAnsi="Century Gothic"/>
          <w:b/>
          <w:sz w:val="22"/>
          <w:szCs w:val="22"/>
        </w:rPr>
        <w:t>resaltando aquellas causas vinculadas a la especialidad del cargo concursado</w:t>
      </w:r>
      <w:r w:rsidRPr="00602B22">
        <w:rPr>
          <w:rFonts w:ascii="Century Gothic" w:hAnsi="Century Gothic"/>
          <w:sz w:val="22"/>
          <w:szCs w:val="22"/>
        </w:rPr>
        <w:t>. En el mismo sentido, se podrán presentar poderes otorgados, en cuyo caso se deberá indicar y acreditar de manera fehaciente lo actuado, judicial o extrajudicialmente, en función del mismo; certificados de mediaciones realizadas (acreditables mediante el listado del CEMARC); con mención de la especialidad en la cual se los asiste; constancias de facturación privada; certificados de actuación en juzgados provinciales y/o nacionales o federales con mención de las causas tramitadas y el carácter de su actuación profesional y todo otro antecedente que –a consideración del concursante- evidencie el volumen y la experiencia en la materia del cargo concursado.</w:t>
      </w:r>
    </w:p>
    <w:p w:rsidR="00E511F9" w:rsidRPr="00602B22" w:rsidRDefault="00E511F9" w:rsidP="00E511F9">
      <w:pPr>
        <w:spacing w:line="288" w:lineRule="auto"/>
        <w:jc w:val="both"/>
        <w:rPr>
          <w:rFonts w:ascii="Century Gothic" w:hAnsi="Century Gothic"/>
          <w:sz w:val="22"/>
          <w:szCs w:val="22"/>
        </w:rPr>
      </w:pPr>
    </w:p>
    <w:p w:rsidR="00E511F9" w:rsidRPr="00602B22" w:rsidRDefault="00E511F9" w:rsidP="00E511F9">
      <w:pPr>
        <w:spacing w:line="288" w:lineRule="auto"/>
        <w:jc w:val="both"/>
        <w:rPr>
          <w:rFonts w:ascii="Century Gothic" w:hAnsi="Century Gothic"/>
          <w:sz w:val="22"/>
          <w:szCs w:val="22"/>
        </w:rPr>
      </w:pPr>
    </w:p>
    <w:p w:rsidR="00E511F9" w:rsidRPr="00602B22" w:rsidRDefault="00E511F9" w:rsidP="00E511F9">
      <w:pPr>
        <w:pStyle w:val="Prrafodelista"/>
        <w:numPr>
          <w:ilvl w:val="0"/>
          <w:numId w:val="3"/>
        </w:numPr>
        <w:shd w:val="clear" w:color="auto" w:fill="FFFFFF"/>
        <w:spacing w:after="0" w:line="288" w:lineRule="auto"/>
        <w:ind w:left="284" w:hanging="284"/>
        <w:rPr>
          <w:rFonts w:ascii="Century Gothic" w:eastAsia="Times New Roman" w:hAnsi="Century Gothic" w:cs="Arial"/>
          <w:lang w:eastAsia="es-AR"/>
        </w:rPr>
      </w:pPr>
      <w:r w:rsidRPr="00602B22">
        <w:rPr>
          <w:rFonts w:ascii="Century Gothic" w:eastAsia="Times New Roman" w:hAnsi="Century Gothic" w:cs="Arial"/>
          <w:b/>
          <w:bCs/>
          <w:lang w:eastAsia="es-AR"/>
        </w:rPr>
        <w:t xml:space="preserve"> RUBRO ANTECEDENTES ACADÉMICOS</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 xml:space="preserve">A continuación se presentan clasificados los distintos antecedentes que son susceptibles de puntuar de conformidad con las definiciones de la normativa reglamentaria y del propio plenario del CMER. En cuanto a la valoración de los títulos de grado universitario, se encuentra excluido de la misma </w:t>
      </w:r>
      <w:proofErr w:type="gramStart"/>
      <w:r w:rsidRPr="00602B22">
        <w:rPr>
          <w:rFonts w:ascii="Century Gothic" w:hAnsi="Century Gothic" w:cs="Arial"/>
          <w:sz w:val="22"/>
          <w:szCs w:val="22"/>
        </w:rPr>
        <w:t>aquel</w:t>
      </w:r>
      <w:proofErr w:type="gramEnd"/>
      <w:r w:rsidRPr="00602B22">
        <w:rPr>
          <w:rFonts w:ascii="Century Gothic" w:hAnsi="Century Gothic" w:cs="Arial"/>
          <w:sz w:val="22"/>
          <w:szCs w:val="22"/>
        </w:rPr>
        <w:t xml:space="preserve"> que es obligatorio para el ejercicio de la judicatura, es decir, el título de abogado. Asimismo, no se </w:t>
      </w:r>
      <w:r w:rsidRPr="00602B22">
        <w:rPr>
          <w:rFonts w:ascii="Century Gothic" w:hAnsi="Century Gothic" w:cs="Arial"/>
          <w:sz w:val="22"/>
          <w:szCs w:val="22"/>
        </w:rPr>
        <w:lastRenderedPageBreak/>
        <w:t>asignará puntaje a la formación obligatoria establecida en el art. 20° de la Ley N°11227.</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Por otra parte, es necesario aclarar que cada certificación o antecedente solo puede ser valorado según una única clasificación. En ningún caso, podrá computarse un mismo antecedente en más de un apartado y/o rubro.</w:t>
      </w:r>
    </w:p>
    <w:p w:rsidR="00E511F9" w:rsidRPr="00602B22" w:rsidRDefault="00E511F9" w:rsidP="00E511F9">
      <w:pPr>
        <w:shd w:val="clear" w:color="auto" w:fill="FFFFFF"/>
        <w:spacing w:line="288" w:lineRule="auto"/>
        <w:rPr>
          <w:rFonts w:ascii="Century Gothic" w:hAnsi="Century Gothic" w:cs="Arial"/>
          <w:sz w:val="22"/>
          <w:szCs w:val="22"/>
        </w:rPr>
      </w:pPr>
    </w:p>
    <w:p w:rsidR="00E511F9" w:rsidRPr="00602B22" w:rsidRDefault="00E511F9" w:rsidP="00E511F9">
      <w:pPr>
        <w:shd w:val="clear" w:color="auto" w:fill="FFFFFF"/>
        <w:spacing w:line="288" w:lineRule="auto"/>
        <w:rPr>
          <w:rFonts w:ascii="Century Gothic" w:hAnsi="Century Gothic" w:cs="Arial"/>
          <w:sz w:val="22"/>
          <w:szCs w:val="22"/>
        </w:rPr>
      </w:pP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b/>
          <w:sz w:val="22"/>
          <w:szCs w:val="22"/>
        </w:rPr>
        <w:t>1.</w:t>
      </w:r>
      <w:r w:rsidRPr="00602B22">
        <w:rPr>
          <w:rFonts w:ascii="Century Gothic" w:hAnsi="Century Gothic" w:cs="Arial"/>
          <w:sz w:val="22"/>
          <w:szCs w:val="22"/>
        </w:rPr>
        <w:t xml:space="preserve"> CARRERAS DE POSGRADO</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u w:val="single"/>
        </w:rPr>
        <w:t>Puntaje máximo</w:t>
      </w:r>
      <w:r w:rsidRPr="00602B22">
        <w:rPr>
          <w:rFonts w:ascii="Century Gothic" w:hAnsi="Century Gothic" w:cs="Arial"/>
          <w:sz w:val="22"/>
          <w:szCs w:val="22"/>
        </w:rPr>
        <w:t>: este apartado no posee tope.</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 xml:space="preserve">Doctorados, Maestrías y Especializaciones: se ha tomado como pauta para la elaboración del cuadro siguiente la mayor o menor vinculación que guardan los estudios cursados con la especialidad de la vacante a cubrir. El puntaje consignado es el máximo que se podrá asignar según el caso (se reducirá en un 25% en el caso de que no se encuentre acreditado por la CONEAU a la fecha de obtención del diploma respectivo). </w:t>
      </w:r>
    </w:p>
    <w:p w:rsidR="00E511F9" w:rsidRPr="00602B22" w:rsidRDefault="00E511F9" w:rsidP="00E511F9">
      <w:pPr>
        <w:spacing w:line="288" w:lineRule="auto"/>
        <w:jc w:val="both"/>
        <w:rPr>
          <w:rFonts w:ascii="Century Gothic" w:hAnsi="Century Gothic"/>
          <w:i/>
          <w:sz w:val="22"/>
          <w:szCs w:val="22"/>
        </w:rPr>
      </w:pPr>
      <w:r w:rsidRPr="00602B22">
        <w:rPr>
          <w:rFonts w:ascii="Century Gothic" w:hAnsi="Century Gothic" w:cs="Arial"/>
          <w:sz w:val="22"/>
          <w:szCs w:val="22"/>
        </w:rPr>
        <w:t xml:space="preserve">Solo se asignará puntaje si se hubiere expedido el diploma o título respectivo o exista constancia de que el mismo se encuentra en trámite. </w:t>
      </w:r>
      <w:r w:rsidRPr="00602B22">
        <w:rPr>
          <w:rFonts w:ascii="Century Gothic" w:hAnsi="Century Gothic"/>
          <w:sz w:val="22"/>
          <w:szCs w:val="22"/>
        </w:rPr>
        <w:t>Se aceptará -de manera provisoria, hasta la expedición del título correspondiente- la presentación del certificado analítico, siempre que se indique expresamente, y sin equívocos, la aprobación completa de la carrera con mención específica al requisito de tesina, tesis y/o cualquier tipo de trabajo final cuya presentación y aprobación sea necesaria para obtener el título.</w:t>
      </w:r>
    </w:p>
    <w:p w:rsidR="00E511F9" w:rsidRPr="00602B22" w:rsidRDefault="00E511F9" w:rsidP="00E511F9">
      <w:pPr>
        <w:spacing w:line="288" w:lineRule="auto"/>
        <w:jc w:val="both"/>
        <w:rPr>
          <w:rFonts w:ascii="Century Gothic" w:hAnsi="Century Gothic"/>
          <w:i/>
          <w:sz w:val="22"/>
          <w:szCs w:val="22"/>
        </w:rPr>
      </w:pPr>
      <w:r w:rsidRPr="00602B22">
        <w:rPr>
          <w:rFonts w:ascii="Century Gothic" w:hAnsi="Century Gothic" w:cs="Arial"/>
          <w:b/>
          <w:sz w:val="22"/>
          <w:szCs w:val="22"/>
        </w:rPr>
        <w:t>Al Doctorado, Maestría y/o Especialización cursada o aprobada parcialmente, no se le asignará puntaje</w:t>
      </w:r>
      <w:r w:rsidRPr="00602B22">
        <w:rPr>
          <w:rFonts w:ascii="Century Gothic" w:hAnsi="Century Gothic" w:cs="Arial"/>
          <w:sz w:val="22"/>
          <w:szCs w:val="22"/>
        </w:rPr>
        <w:t>.</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En caso de acreditarse títulos de posgrado expedidos por universidades extranjeras, el concursante deberá acreditar, mediante la documentación correspondiente, que los mismos cuentan con reconocimiento oficial en la República Argentina, a través del procedimiento de convalidación o reválida, a efectos de acceder al puntaje previsto. En caso contrario, se computará de acuerdo a la escala prevista en el apartado 3 (Cursos de Posgrado).</w:t>
      </w:r>
    </w:p>
    <w:p w:rsidR="00E511F9" w:rsidRPr="00602B22" w:rsidRDefault="00E511F9" w:rsidP="00E511F9">
      <w:pPr>
        <w:shd w:val="clear" w:color="auto" w:fill="FFFFFF"/>
        <w:spacing w:line="288" w:lineRule="auto"/>
        <w:jc w:val="both"/>
        <w:rPr>
          <w:rFonts w:ascii="Century Gothic" w:hAnsi="Century Gothic" w:cs="Arial"/>
          <w:sz w:val="22"/>
          <w:szCs w:val="22"/>
        </w:rPr>
      </w:pPr>
    </w:p>
    <w:p w:rsidR="00E511F9" w:rsidRPr="00602B22" w:rsidRDefault="00E511F9" w:rsidP="00E511F9">
      <w:pPr>
        <w:shd w:val="clear" w:color="auto" w:fill="FFFFFF"/>
        <w:spacing w:line="288" w:lineRule="auto"/>
        <w:jc w:val="both"/>
        <w:rPr>
          <w:rFonts w:ascii="Century Gothic" w:hAnsi="Century Gothic" w:cs="Arial"/>
          <w:sz w:val="22"/>
          <w:szCs w:val="22"/>
        </w:rPr>
      </w:pP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Puntajes:</w:t>
      </w:r>
    </w:p>
    <w:p w:rsidR="00E511F9" w:rsidRPr="00602B22" w:rsidRDefault="00E511F9" w:rsidP="00E511F9">
      <w:pPr>
        <w:shd w:val="clear" w:color="auto" w:fill="FFFFFF"/>
        <w:spacing w:line="288" w:lineRule="auto"/>
        <w:jc w:val="both"/>
        <w:rPr>
          <w:rFonts w:ascii="Century Gothic" w:hAnsi="Century Gothic"/>
          <w:sz w:val="22"/>
          <w:szCs w:val="22"/>
        </w:rPr>
      </w:pPr>
      <w:r w:rsidRPr="00602B22">
        <w:rPr>
          <w:rFonts w:ascii="Century Gothic" w:hAnsi="Century Gothic" w:cs="Arial"/>
          <w:sz w:val="22"/>
          <w:szCs w:val="22"/>
          <w:shd w:val="clear" w:color="auto" w:fill="FFFFFF"/>
        </w:rPr>
        <w:t>Doctorados: 4 puntos</w:t>
      </w:r>
      <w:r w:rsidRPr="00602B22">
        <w:rPr>
          <w:rFonts w:ascii="Century Gothic" w:hAnsi="Century Gothic"/>
          <w:sz w:val="22"/>
          <w:szCs w:val="22"/>
        </w:rPr>
        <w:t>.</w:t>
      </w:r>
    </w:p>
    <w:p w:rsidR="00E511F9" w:rsidRPr="00602B22" w:rsidRDefault="00E511F9" w:rsidP="00E511F9">
      <w:pPr>
        <w:shd w:val="clear" w:color="auto" w:fill="FFFFFF"/>
        <w:spacing w:line="288" w:lineRule="auto"/>
        <w:jc w:val="both"/>
        <w:rPr>
          <w:rFonts w:ascii="Century Gothic" w:hAnsi="Century Gothic" w:cs="Arial"/>
          <w:sz w:val="22"/>
          <w:szCs w:val="22"/>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80"/>
        <w:gridCol w:w="1748"/>
        <w:gridCol w:w="2098"/>
      </w:tblGrid>
      <w:tr w:rsidR="00E511F9" w:rsidRPr="00602B22" w:rsidTr="00532121">
        <w:trPr>
          <w:tblCellSpacing w:w="0" w:type="dxa"/>
        </w:trPr>
        <w:tc>
          <w:tcPr>
            <w:tcW w:w="2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br/>
              <w:t>Materia</w:t>
            </w:r>
          </w:p>
        </w:tc>
        <w:tc>
          <w:tcPr>
            <w:tcW w:w="17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Maestría</w:t>
            </w:r>
          </w:p>
        </w:tc>
        <w:tc>
          <w:tcPr>
            <w:tcW w:w="20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Especialización</w:t>
            </w:r>
          </w:p>
        </w:tc>
      </w:tr>
      <w:tr w:rsidR="00E511F9" w:rsidRPr="00602B22" w:rsidTr="00532121">
        <w:trPr>
          <w:tblCellSpacing w:w="0" w:type="dxa"/>
        </w:trPr>
        <w:tc>
          <w:tcPr>
            <w:tcW w:w="2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Misma especialidad</w:t>
            </w:r>
          </w:p>
        </w:tc>
        <w:tc>
          <w:tcPr>
            <w:tcW w:w="17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ind w:left="360"/>
              <w:jc w:val="center"/>
              <w:rPr>
                <w:rFonts w:ascii="Century Gothic" w:hAnsi="Century Gothic" w:cs="Arial"/>
                <w:sz w:val="22"/>
                <w:szCs w:val="22"/>
              </w:rPr>
            </w:pPr>
            <w:r w:rsidRPr="00602B22">
              <w:rPr>
                <w:rFonts w:ascii="Century Gothic" w:hAnsi="Century Gothic" w:cs="Arial"/>
                <w:sz w:val="22"/>
                <w:szCs w:val="22"/>
              </w:rPr>
              <w:t>2</w:t>
            </w:r>
          </w:p>
        </w:tc>
        <w:tc>
          <w:tcPr>
            <w:tcW w:w="20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ind w:left="360"/>
              <w:jc w:val="center"/>
              <w:rPr>
                <w:rFonts w:ascii="Century Gothic" w:hAnsi="Century Gothic" w:cs="Arial"/>
                <w:sz w:val="22"/>
                <w:szCs w:val="22"/>
              </w:rPr>
            </w:pPr>
            <w:r w:rsidRPr="00602B22">
              <w:rPr>
                <w:rFonts w:ascii="Century Gothic" w:hAnsi="Century Gothic" w:cs="Arial"/>
                <w:sz w:val="22"/>
                <w:szCs w:val="22"/>
              </w:rPr>
              <w:t>1,50</w:t>
            </w:r>
          </w:p>
        </w:tc>
      </w:tr>
      <w:tr w:rsidR="00E511F9" w:rsidRPr="00602B22" w:rsidTr="00532121">
        <w:trPr>
          <w:tblCellSpacing w:w="0" w:type="dxa"/>
        </w:trPr>
        <w:tc>
          <w:tcPr>
            <w:tcW w:w="2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Misma rama del Derecho</w:t>
            </w:r>
          </w:p>
        </w:tc>
        <w:tc>
          <w:tcPr>
            <w:tcW w:w="17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ind w:left="360"/>
              <w:jc w:val="center"/>
              <w:rPr>
                <w:rFonts w:ascii="Century Gothic" w:hAnsi="Century Gothic" w:cs="Arial"/>
                <w:sz w:val="22"/>
                <w:szCs w:val="22"/>
              </w:rPr>
            </w:pPr>
            <w:r w:rsidRPr="00602B22">
              <w:rPr>
                <w:rFonts w:ascii="Century Gothic" w:hAnsi="Century Gothic" w:cs="Arial"/>
                <w:sz w:val="22"/>
                <w:szCs w:val="22"/>
              </w:rPr>
              <w:t>1,30</w:t>
            </w:r>
          </w:p>
        </w:tc>
        <w:tc>
          <w:tcPr>
            <w:tcW w:w="20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ind w:left="360"/>
              <w:jc w:val="center"/>
              <w:rPr>
                <w:rFonts w:ascii="Century Gothic" w:hAnsi="Century Gothic" w:cs="Arial"/>
                <w:sz w:val="22"/>
                <w:szCs w:val="22"/>
              </w:rPr>
            </w:pPr>
            <w:r w:rsidRPr="00602B22">
              <w:rPr>
                <w:rFonts w:ascii="Century Gothic" w:hAnsi="Century Gothic" w:cs="Arial"/>
                <w:sz w:val="22"/>
                <w:szCs w:val="22"/>
              </w:rPr>
              <w:t>1,10</w:t>
            </w:r>
          </w:p>
        </w:tc>
      </w:tr>
      <w:tr w:rsidR="00E511F9" w:rsidRPr="00602B22" w:rsidTr="00532121">
        <w:trPr>
          <w:tblCellSpacing w:w="0" w:type="dxa"/>
        </w:trPr>
        <w:tc>
          <w:tcPr>
            <w:tcW w:w="29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Otra rama del Derecho</w:t>
            </w:r>
          </w:p>
        </w:tc>
        <w:tc>
          <w:tcPr>
            <w:tcW w:w="17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ind w:left="360"/>
              <w:jc w:val="center"/>
              <w:rPr>
                <w:rFonts w:ascii="Century Gothic" w:hAnsi="Century Gothic" w:cs="Arial"/>
                <w:sz w:val="22"/>
                <w:szCs w:val="22"/>
              </w:rPr>
            </w:pPr>
            <w:r w:rsidRPr="00602B22">
              <w:rPr>
                <w:rFonts w:ascii="Century Gothic" w:hAnsi="Century Gothic" w:cs="Arial"/>
                <w:sz w:val="22"/>
                <w:szCs w:val="22"/>
              </w:rPr>
              <w:t>0,70</w:t>
            </w:r>
          </w:p>
        </w:tc>
        <w:tc>
          <w:tcPr>
            <w:tcW w:w="20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ind w:left="360"/>
              <w:jc w:val="center"/>
              <w:rPr>
                <w:rFonts w:ascii="Century Gothic" w:hAnsi="Century Gothic" w:cs="Arial"/>
                <w:sz w:val="22"/>
                <w:szCs w:val="22"/>
              </w:rPr>
            </w:pPr>
            <w:r w:rsidRPr="00602B22">
              <w:rPr>
                <w:rFonts w:ascii="Century Gothic" w:hAnsi="Century Gothic" w:cs="Arial"/>
                <w:sz w:val="22"/>
                <w:szCs w:val="22"/>
              </w:rPr>
              <w:t>0,50</w:t>
            </w:r>
          </w:p>
        </w:tc>
      </w:tr>
    </w:tbl>
    <w:p w:rsidR="00E511F9" w:rsidRPr="00602B22" w:rsidRDefault="00E511F9" w:rsidP="00E511F9">
      <w:pPr>
        <w:shd w:val="clear" w:color="auto" w:fill="FFFFFF"/>
        <w:spacing w:line="288" w:lineRule="auto"/>
        <w:jc w:val="both"/>
        <w:rPr>
          <w:rFonts w:ascii="Century Gothic" w:hAnsi="Century Gothic" w:cs="Arial"/>
          <w:sz w:val="22"/>
          <w:szCs w:val="22"/>
        </w:rPr>
      </w:pPr>
    </w:p>
    <w:p w:rsidR="00E511F9" w:rsidRPr="00602B22" w:rsidRDefault="00E511F9" w:rsidP="00E511F9">
      <w:pPr>
        <w:shd w:val="clear" w:color="auto" w:fill="FFFFFF"/>
        <w:spacing w:line="288" w:lineRule="auto"/>
        <w:jc w:val="both"/>
        <w:rPr>
          <w:rFonts w:ascii="Century Gothic" w:hAnsi="Century Gothic" w:cs="Arial"/>
          <w:sz w:val="22"/>
          <w:szCs w:val="22"/>
        </w:rPr>
      </w:pP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b/>
          <w:sz w:val="22"/>
          <w:szCs w:val="22"/>
        </w:rPr>
        <w:t>2.</w:t>
      </w:r>
      <w:r w:rsidRPr="00602B22">
        <w:rPr>
          <w:rFonts w:ascii="Century Gothic" w:hAnsi="Century Gothic" w:cs="Arial"/>
          <w:sz w:val="22"/>
          <w:szCs w:val="22"/>
        </w:rPr>
        <w:t xml:space="preserve"> ESTUDIOS DE NIVEL SUPERIOR </w:t>
      </w:r>
    </w:p>
    <w:p w:rsidR="00E511F9" w:rsidRPr="00602B22" w:rsidRDefault="00E511F9" w:rsidP="00E511F9">
      <w:pPr>
        <w:shd w:val="clear" w:color="auto" w:fill="FFFFFF"/>
        <w:spacing w:line="288" w:lineRule="auto"/>
        <w:rPr>
          <w:rFonts w:ascii="Century Gothic" w:hAnsi="Century Gothic" w:cs="Arial"/>
          <w:sz w:val="22"/>
          <w:szCs w:val="22"/>
        </w:rPr>
      </w:pP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u w:val="single"/>
        </w:rPr>
        <w:t>Puntaje máximo</w:t>
      </w:r>
      <w:r w:rsidRPr="00602B22">
        <w:rPr>
          <w:rFonts w:ascii="Century Gothic" w:hAnsi="Century Gothic" w:cs="Arial"/>
          <w:sz w:val="22"/>
          <w:szCs w:val="22"/>
        </w:rPr>
        <w:t>: hasta 2 puntos en el inciso a) y tope de 1 punto en el inciso b)</w:t>
      </w:r>
    </w:p>
    <w:p w:rsidR="00E511F9" w:rsidRPr="00602B22" w:rsidRDefault="00E511F9" w:rsidP="00E511F9">
      <w:pPr>
        <w:shd w:val="clear" w:color="auto" w:fill="FFFFFF"/>
        <w:spacing w:line="288" w:lineRule="auto"/>
        <w:rPr>
          <w:rFonts w:ascii="Century Gothic" w:hAnsi="Century Gothic" w:cs="Arial"/>
          <w:sz w:val="22"/>
          <w:szCs w:val="22"/>
        </w:rPr>
      </w:pP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 xml:space="preserve">a) Títulos de grado Universitario: se calificará con 1 punto cada título. </w:t>
      </w:r>
      <w:r w:rsidRPr="00602B22">
        <w:rPr>
          <w:rFonts w:ascii="Century Gothic" w:hAnsi="Century Gothic" w:cs="Arial"/>
          <w:sz w:val="22"/>
          <w:szCs w:val="22"/>
        </w:rPr>
        <w:br/>
        <w:t>b) Títulos de nivel superior no universitario: se asignarán</w:t>
      </w:r>
      <w:proofErr w:type="gramStart"/>
      <w:r w:rsidRPr="00602B22">
        <w:rPr>
          <w:rFonts w:ascii="Century Gothic" w:hAnsi="Century Gothic" w:cs="Arial"/>
          <w:sz w:val="22"/>
          <w:szCs w:val="22"/>
        </w:rPr>
        <w:t>  0,50</w:t>
      </w:r>
      <w:proofErr w:type="gramEnd"/>
      <w:r w:rsidRPr="00602B22">
        <w:rPr>
          <w:rFonts w:ascii="Century Gothic" w:hAnsi="Century Gothic" w:cs="Arial"/>
          <w:sz w:val="22"/>
          <w:szCs w:val="22"/>
        </w:rPr>
        <w:t> puntos a cada título obtenido. Dentro de éste ítem será calificado el título de Mediador expedido por la Escuela de Mediadores dependiente de la Dirección Nacional de Promoción de Medios Alternativos de Resolución de Conflictos, Secretaria de Asuntos Técnicos y Legislativos del Ministerio de Justicia de la Nación u otras instituciones siempre que tengan habilitación del Registro del Instituciones Formadoras en Mediación de la mencionada Dirección. </w:t>
      </w:r>
    </w:p>
    <w:p w:rsidR="00E511F9" w:rsidRPr="00602B22" w:rsidRDefault="00E511F9" w:rsidP="00E511F9">
      <w:pPr>
        <w:shd w:val="clear" w:color="auto" w:fill="FFFFFF"/>
        <w:spacing w:line="288" w:lineRule="auto"/>
        <w:jc w:val="both"/>
        <w:rPr>
          <w:rFonts w:ascii="Century Gothic" w:hAnsi="Century Gothic" w:cs="Arial"/>
          <w:sz w:val="22"/>
          <w:szCs w:val="22"/>
        </w:rPr>
      </w:pP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b/>
          <w:sz w:val="22"/>
          <w:szCs w:val="22"/>
        </w:rPr>
        <w:t>3.</w:t>
      </w:r>
      <w:r w:rsidRPr="00602B22">
        <w:rPr>
          <w:rFonts w:ascii="Century Gothic" w:hAnsi="Century Gothic" w:cs="Arial"/>
          <w:sz w:val="22"/>
          <w:szCs w:val="22"/>
        </w:rPr>
        <w:t xml:space="preserve"> CURSOS DE POSGRADO Y DIPLOMATURAS UNIVERSITARIAS</w:t>
      </w:r>
    </w:p>
    <w:p w:rsidR="00E511F9" w:rsidRPr="00602B22" w:rsidRDefault="00E511F9" w:rsidP="00E511F9">
      <w:pPr>
        <w:shd w:val="clear" w:color="auto" w:fill="FFFFFF"/>
        <w:spacing w:line="288" w:lineRule="auto"/>
        <w:jc w:val="both"/>
        <w:rPr>
          <w:rFonts w:ascii="Century Gothic" w:hAnsi="Century Gothic" w:cs="Arial"/>
          <w:sz w:val="22"/>
          <w:szCs w:val="22"/>
        </w:rPr>
      </w:pP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u w:val="single"/>
        </w:rPr>
        <w:t>Puntaje máximo</w:t>
      </w:r>
      <w:r w:rsidRPr="00602B22">
        <w:rPr>
          <w:rFonts w:ascii="Century Gothic" w:hAnsi="Century Gothic" w:cs="Arial"/>
          <w:sz w:val="22"/>
          <w:szCs w:val="22"/>
        </w:rPr>
        <w:t>: 1,50 puntos.</w:t>
      </w:r>
    </w:p>
    <w:p w:rsidR="00E511F9" w:rsidRPr="00602B22" w:rsidRDefault="00E511F9" w:rsidP="00E511F9">
      <w:pPr>
        <w:shd w:val="clear" w:color="auto" w:fill="FFFFFF"/>
        <w:spacing w:line="288" w:lineRule="auto"/>
        <w:jc w:val="both"/>
        <w:rPr>
          <w:rFonts w:ascii="Century Gothic" w:hAnsi="Century Gothic" w:cs="Arial"/>
          <w:sz w:val="22"/>
          <w:szCs w:val="22"/>
        </w:rPr>
      </w:pP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Cursos de posgrado y diplomaturas dictados por universidades tanto públicas como privadas. Será requisito para la asignación de puntaje:</w:t>
      </w:r>
    </w:p>
    <w:p w:rsidR="00E511F9" w:rsidRPr="00602B22" w:rsidRDefault="00E511F9" w:rsidP="00E511F9">
      <w:pPr>
        <w:shd w:val="clear" w:color="auto" w:fill="FFFFFF"/>
        <w:spacing w:line="288" w:lineRule="auto"/>
        <w:jc w:val="both"/>
        <w:rPr>
          <w:rFonts w:ascii="Century Gothic" w:hAnsi="Century Gothic" w:cs="Arial"/>
          <w:sz w:val="22"/>
          <w:szCs w:val="22"/>
        </w:rPr>
      </w:pP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a) su culminación con un trabajo o evaluación final aprobado/a.</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b) duración no inferior a un cuatrimestre o su carga horaria no sea inferior a treinta (30) horas debidamente certificado.</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c) se acredite su aprobación completa. No se asignará puntaje en caso de que se verifique asistencia o aprobación parcial.</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Se</w:t>
      </w:r>
      <w:proofErr w:type="gramStart"/>
      <w:r w:rsidRPr="00602B22">
        <w:rPr>
          <w:rFonts w:ascii="Century Gothic" w:hAnsi="Century Gothic" w:cs="Arial"/>
          <w:sz w:val="22"/>
          <w:szCs w:val="22"/>
        </w:rPr>
        <w:t>  adjudicará</w:t>
      </w:r>
      <w:proofErr w:type="gramEnd"/>
      <w:r w:rsidRPr="00602B22">
        <w:rPr>
          <w:rFonts w:ascii="Century Gothic" w:hAnsi="Century Gothic" w:cs="Arial"/>
          <w:sz w:val="22"/>
          <w:szCs w:val="22"/>
        </w:rPr>
        <w:t xml:space="preserve"> un puntaje de 0,30 puntos por cada estudio aprobado.</w:t>
      </w:r>
    </w:p>
    <w:p w:rsidR="00E511F9" w:rsidRPr="00602B22" w:rsidRDefault="00E511F9" w:rsidP="00E511F9">
      <w:pPr>
        <w:spacing w:after="150" w:line="288" w:lineRule="auto"/>
        <w:jc w:val="both"/>
        <w:rPr>
          <w:rFonts w:ascii="Century Gothic" w:eastAsia="Century Gothic" w:hAnsi="Century Gothic" w:cs="Century Gothic"/>
          <w:sz w:val="22"/>
          <w:szCs w:val="22"/>
        </w:rPr>
      </w:pPr>
    </w:p>
    <w:p w:rsidR="00E511F9" w:rsidRPr="00602B22" w:rsidRDefault="00E511F9" w:rsidP="00E511F9">
      <w:pPr>
        <w:spacing w:after="150" w:line="288" w:lineRule="auto"/>
        <w:jc w:val="both"/>
        <w:rPr>
          <w:rFonts w:ascii="Century Gothic" w:eastAsia="Century Gothic" w:hAnsi="Century Gothic" w:cs="Century Gothic"/>
          <w:sz w:val="22"/>
          <w:szCs w:val="22"/>
        </w:rPr>
      </w:pPr>
      <w:r w:rsidRPr="00602B22">
        <w:rPr>
          <w:rFonts w:ascii="Century Gothic" w:eastAsia="Century Gothic" w:hAnsi="Century Gothic" w:cs="Century Gothic"/>
          <w:b/>
          <w:sz w:val="22"/>
          <w:szCs w:val="22"/>
        </w:rPr>
        <w:t>4.</w:t>
      </w:r>
      <w:r w:rsidRPr="00602B22">
        <w:rPr>
          <w:rFonts w:ascii="Century Gothic" w:eastAsia="Century Gothic" w:hAnsi="Century Gothic" w:cs="Century Gothic"/>
          <w:sz w:val="22"/>
          <w:szCs w:val="22"/>
        </w:rPr>
        <w:t xml:space="preserve"> CURSOS, TALLERES, CAPACITACIONES Y PROGRAMAS </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u w:val="single"/>
        </w:rPr>
        <w:t>Puntaje máximo</w:t>
      </w:r>
      <w:r w:rsidRPr="00602B22">
        <w:rPr>
          <w:rFonts w:ascii="Century Gothic" w:hAnsi="Century Gothic" w:cs="Arial"/>
          <w:sz w:val="22"/>
          <w:szCs w:val="22"/>
        </w:rPr>
        <w:t>: 1 punto.</w:t>
      </w:r>
    </w:p>
    <w:p w:rsidR="00E511F9" w:rsidRPr="00602B22" w:rsidRDefault="00E511F9" w:rsidP="00E511F9">
      <w:pPr>
        <w:shd w:val="clear" w:color="auto" w:fill="FFFFFF"/>
        <w:spacing w:line="288" w:lineRule="auto"/>
        <w:rPr>
          <w:rFonts w:ascii="Century Gothic" w:hAnsi="Century Gothic" w:cs="Arial"/>
          <w:sz w:val="22"/>
          <w:szCs w:val="22"/>
        </w:rPr>
      </w:pPr>
    </w:p>
    <w:p w:rsidR="00E511F9" w:rsidRPr="00602B22" w:rsidRDefault="00E511F9" w:rsidP="00E511F9">
      <w:pPr>
        <w:shd w:val="clear" w:color="auto" w:fill="FFFFFF"/>
        <w:spacing w:line="288" w:lineRule="auto"/>
        <w:jc w:val="both"/>
        <w:rPr>
          <w:rFonts w:ascii="Century Gothic" w:eastAsia="Century Gothic" w:hAnsi="Century Gothic" w:cs="Century Gothic"/>
          <w:sz w:val="22"/>
          <w:szCs w:val="22"/>
        </w:rPr>
      </w:pPr>
      <w:r w:rsidRPr="00602B22">
        <w:rPr>
          <w:rFonts w:ascii="Century Gothic" w:eastAsia="Century Gothic" w:hAnsi="Century Gothic" w:cs="Century Gothic"/>
          <w:sz w:val="22"/>
          <w:szCs w:val="22"/>
        </w:rPr>
        <w:t>A) Cursos, programas, capacitaciones, talleres, ciclos de actualización y otras ofertas académicas organizadas y/o promovidas por instituciones de origen diverso, que no forman parte del sistema educativo formal: escuelas judiciales, centros de investigación/capacitación, colegios, institutos de formación, etc. En este apartado se clasifican, entre otros estudios, las diplomaturas dictadas por instituciones de esta naturaleza. Se otorgan 0,20 puntos por cada antecedente, siempre que se cumplan los requisitos de aprobación, de igual modo que se exige a los cursos de posgrado y, por otra parte, una carga horaria mínima de cincuenta (50) horas. El Consejo hará una valoración global, tanto de la institución o instituciones que organicen los mismos, como de la calidad general de la formación/capacitación que ofrezcan, como paso previo a la asignación de puntaje, el que quedará supeditado al resultado de dicho análisis.</w:t>
      </w:r>
    </w:p>
    <w:p w:rsidR="00E511F9" w:rsidRPr="00602B22" w:rsidRDefault="00E511F9" w:rsidP="00E511F9">
      <w:pPr>
        <w:shd w:val="clear" w:color="auto" w:fill="FFFFFF"/>
        <w:spacing w:line="288" w:lineRule="auto"/>
        <w:jc w:val="both"/>
        <w:rPr>
          <w:rFonts w:ascii="Century Gothic" w:eastAsia="Century Gothic" w:hAnsi="Century Gothic" w:cs="Century Gothic"/>
          <w:sz w:val="22"/>
          <w:szCs w:val="22"/>
        </w:rPr>
      </w:pPr>
      <w:r w:rsidRPr="00602B22">
        <w:rPr>
          <w:rFonts w:ascii="Century Gothic" w:eastAsia="Century Gothic" w:hAnsi="Century Gothic" w:cs="Century Gothic"/>
          <w:sz w:val="22"/>
          <w:szCs w:val="22"/>
        </w:rPr>
        <w:t xml:space="preserve">B) </w:t>
      </w:r>
      <w:r w:rsidRPr="00602B22">
        <w:rPr>
          <w:rFonts w:ascii="Century Gothic" w:hAnsi="Century Gothic"/>
          <w:sz w:val="22"/>
          <w:szCs w:val="22"/>
        </w:rPr>
        <w:t>El Curso Anual de Capacitación de Magistratura Judicial organizado por el Instituto de Formación y Perfeccionamiento Judicial de la Provincia de Entre Ríos “Dr. Juan Bautista Alberdi” y/o el curso de capacitación que el Colegio de la Abogacía de la Provincia de Entre Ríos organice como parte de su oferta formativa anual integral, serán calificados en caso de que se acredite su aprobación completa con 0,30 puntos por cada ciclo anual, siempre que los mismos posean una carga horaria mínima de cincuenta (50) horas, lo que deberá acreditarse como condición necesaria para la percepción del puntaje, tanto como su aprobación completa. No se asignará puntaje específico en caso de que se acredite solamente la aprobación parcial de los ciclos anuales ni por su mera asistencia aunque fuera al ciclo completo.</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shd w:val="clear" w:color="auto" w:fill="FFFFFF"/>
        <w:spacing w:line="288" w:lineRule="auto"/>
        <w:rPr>
          <w:rFonts w:ascii="Century Gothic" w:hAnsi="Century Gothic" w:cs="Arial"/>
          <w:sz w:val="22"/>
          <w:szCs w:val="22"/>
          <w:u w:val="single"/>
        </w:rPr>
      </w:pPr>
      <w:r w:rsidRPr="00602B22">
        <w:rPr>
          <w:rFonts w:ascii="Century Gothic" w:hAnsi="Century Gothic" w:cs="Arial"/>
          <w:b/>
          <w:sz w:val="22"/>
          <w:szCs w:val="22"/>
        </w:rPr>
        <w:t>5.</w:t>
      </w:r>
      <w:r w:rsidRPr="00602B22">
        <w:rPr>
          <w:rFonts w:ascii="Century Gothic" w:hAnsi="Century Gothic" w:cs="Arial"/>
          <w:sz w:val="22"/>
          <w:szCs w:val="22"/>
        </w:rPr>
        <w:t xml:space="preserve"> PUBLICACIONES</w:t>
      </w:r>
      <w:r w:rsidRPr="00602B22">
        <w:rPr>
          <w:rFonts w:ascii="Century Gothic" w:hAnsi="Century Gothic" w:cs="Arial"/>
          <w:sz w:val="22"/>
          <w:szCs w:val="22"/>
        </w:rPr>
        <w:br/>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u w:val="single"/>
        </w:rPr>
        <w:t>Puntaje máximo</w:t>
      </w:r>
      <w:r w:rsidRPr="00602B22">
        <w:rPr>
          <w:rFonts w:ascii="Century Gothic" w:hAnsi="Century Gothic" w:cs="Arial"/>
          <w:sz w:val="22"/>
          <w:szCs w:val="22"/>
        </w:rPr>
        <w:t>: 2 puntos.</w:t>
      </w:r>
    </w:p>
    <w:p w:rsidR="00E511F9" w:rsidRPr="00602B22" w:rsidRDefault="00E511F9" w:rsidP="00E511F9">
      <w:pPr>
        <w:shd w:val="clear" w:color="auto" w:fill="FFFFFF"/>
        <w:spacing w:line="288" w:lineRule="auto"/>
        <w:rPr>
          <w:rFonts w:ascii="Century Gothic" w:hAnsi="Century Gothic" w:cs="Arial"/>
          <w:sz w:val="22"/>
          <w:szCs w:val="22"/>
        </w:rPr>
      </w:pP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Se asignará puntaje a las mismas atendiendo a la calidad, rigor científico, vinculación con la labor que demande la vacante a cubrir y que correspondan a editoriales o revistas jurídicas reconocidas.</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lastRenderedPageBreak/>
        <w:t>No serán evaluados dentro del ítem aquellos trabajos doctrinarios que no se encontraren a la fecha de inscripción efectivamente publicados, como así tampoco los publicados en páginas web que no sean propiedad de editoriales o revistas jurídicas en cuyo caso deberá agregarse certificación de autoría emitida por el respectivo editor.</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En caso de que se trate de trabajos aún inéditos o publicados en sitios web distintos a los mencionados arriba se evaluará en cada caso la asignación de puntaje de acuerdo a su trascendencia jurídica.</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Por este ítem, que no tiene una escala previa, se podrá asignar una cantidad máxima de 2 puntos, según las pautas precedentemente descriptas, reservándose en todos los casos 1 punto para la asignación de puntaje por autoría de libro/s efectivamente publicado/s en editorial reconocida.</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En referencia a la participación en calidad de colaborador/compilador en obras jurídicas, el Pleno evaluará en cada caso particular, si corresponde la asignación de puntaje, en base a criterios de pertinencia, calidad y naturaleza de la intervención. El mismo no podrá superar (sumando la cantidad de participaciones, en el supuesto que posea más de una) el máximo de 0,50 puntos.</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b/>
          <w:sz w:val="22"/>
          <w:szCs w:val="22"/>
        </w:rPr>
        <w:t>6.</w:t>
      </w:r>
      <w:r w:rsidRPr="00602B22">
        <w:rPr>
          <w:rFonts w:ascii="Century Gothic" w:hAnsi="Century Gothic" w:cs="Arial"/>
          <w:sz w:val="22"/>
          <w:szCs w:val="22"/>
        </w:rPr>
        <w:t xml:space="preserve"> DOCENCIA</w:t>
      </w:r>
    </w:p>
    <w:p w:rsidR="00E511F9" w:rsidRPr="00602B22" w:rsidRDefault="00E511F9" w:rsidP="00E511F9">
      <w:pPr>
        <w:shd w:val="clear" w:color="auto" w:fill="FFFFFF"/>
        <w:spacing w:line="288" w:lineRule="auto"/>
        <w:rPr>
          <w:rFonts w:ascii="Century Gothic" w:hAnsi="Century Gothic" w:cs="Arial"/>
          <w:sz w:val="22"/>
          <w:szCs w:val="22"/>
          <w:u w:val="single"/>
        </w:rPr>
      </w:pP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u w:val="single"/>
        </w:rPr>
        <w:t>Puntaje máximo</w:t>
      </w:r>
      <w:r w:rsidRPr="00602B22">
        <w:rPr>
          <w:rFonts w:ascii="Century Gothic" w:hAnsi="Century Gothic" w:cs="Arial"/>
          <w:sz w:val="22"/>
          <w:szCs w:val="22"/>
        </w:rPr>
        <w:t>: 3 puntos.</w:t>
      </w:r>
    </w:p>
    <w:p w:rsidR="00E511F9" w:rsidRPr="00602B22" w:rsidRDefault="00E511F9" w:rsidP="00E511F9">
      <w:pPr>
        <w:shd w:val="clear" w:color="auto" w:fill="FFFFFF"/>
        <w:spacing w:line="288" w:lineRule="auto"/>
        <w:rPr>
          <w:rFonts w:ascii="Century Gothic" w:hAnsi="Century Gothic" w:cs="Arial"/>
          <w:sz w:val="22"/>
          <w:szCs w:val="22"/>
        </w:rPr>
      </w:pP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Las constancias de servicio docente en las instituciones de nivel universitario deberán contener los siguientes datos:</w:t>
      </w:r>
    </w:p>
    <w:p w:rsidR="00E511F9" w:rsidRPr="00602B22" w:rsidRDefault="00E511F9" w:rsidP="00E511F9">
      <w:pPr>
        <w:pStyle w:val="Prrafodelista"/>
        <w:numPr>
          <w:ilvl w:val="0"/>
          <w:numId w:val="1"/>
        </w:numPr>
        <w:shd w:val="clear" w:color="auto" w:fill="FFFFFF"/>
        <w:spacing w:after="0" w:line="288" w:lineRule="auto"/>
        <w:rPr>
          <w:rFonts w:ascii="Century Gothic" w:eastAsia="Times New Roman" w:hAnsi="Century Gothic" w:cs="Arial"/>
          <w:lang w:eastAsia="es-AR"/>
        </w:rPr>
      </w:pPr>
      <w:r w:rsidRPr="00602B22">
        <w:rPr>
          <w:rFonts w:ascii="Century Gothic" w:eastAsia="Times New Roman" w:hAnsi="Century Gothic" w:cs="Arial"/>
          <w:lang w:eastAsia="es-AR"/>
        </w:rPr>
        <w:t>Nombre de la Institución</w:t>
      </w:r>
    </w:p>
    <w:p w:rsidR="00E511F9" w:rsidRPr="00602B22" w:rsidRDefault="00E511F9" w:rsidP="00E511F9">
      <w:pPr>
        <w:pStyle w:val="Prrafodelista"/>
        <w:numPr>
          <w:ilvl w:val="0"/>
          <w:numId w:val="1"/>
        </w:numPr>
        <w:shd w:val="clear" w:color="auto" w:fill="FFFFFF"/>
        <w:spacing w:after="0" w:line="288" w:lineRule="auto"/>
        <w:rPr>
          <w:rFonts w:ascii="Century Gothic" w:eastAsia="Times New Roman" w:hAnsi="Century Gothic" w:cs="Arial"/>
          <w:lang w:eastAsia="es-AR"/>
        </w:rPr>
      </w:pPr>
      <w:r w:rsidRPr="00602B22">
        <w:rPr>
          <w:rFonts w:ascii="Century Gothic" w:eastAsia="Times New Roman" w:hAnsi="Century Gothic" w:cs="Arial"/>
          <w:lang w:eastAsia="es-AR"/>
        </w:rPr>
        <w:t>Carrera</w:t>
      </w:r>
    </w:p>
    <w:p w:rsidR="00E511F9" w:rsidRPr="00602B22" w:rsidRDefault="00E511F9" w:rsidP="00E511F9">
      <w:pPr>
        <w:pStyle w:val="Prrafodelista"/>
        <w:numPr>
          <w:ilvl w:val="0"/>
          <w:numId w:val="1"/>
        </w:numPr>
        <w:shd w:val="clear" w:color="auto" w:fill="FFFFFF"/>
        <w:spacing w:after="0" w:line="288" w:lineRule="auto"/>
        <w:rPr>
          <w:rFonts w:ascii="Century Gothic" w:eastAsia="Times New Roman" w:hAnsi="Century Gothic" w:cs="Arial"/>
          <w:lang w:eastAsia="es-AR"/>
        </w:rPr>
      </w:pPr>
      <w:r w:rsidRPr="00602B22">
        <w:rPr>
          <w:rFonts w:ascii="Century Gothic" w:eastAsia="Times New Roman" w:hAnsi="Century Gothic" w:cs="Arial"/>
          <w:lang w:eastAsia="es-AR"/>
        </w:rPr>
        <w:t>Materia/s</w:t>
      </w:r>
    </w:p>
    <w:p w:rsidR="00E511F9" w:rsidRPr="00602B22" w:rsidRDefault="00E511F9" w:rsidP="00E511F9">
      <w:pPr>
        <w:pStyle w:val="Prrafodelista"/>
        <w:numPr>
          <w:ilvl w:val="0"/>
          <w:numId w:val="1"/>
        </w:numPr>
        <w:shd w:val="clear" w:color="auto" w:fill="FFFFFF"/>
        <w:spacing w:after="0" w:line="288" w:lineRule="auto"/>
        <w:rPr>
          <w:rFonts w:ascii="Century Gothic" w:eastAsia="Times New Roman" w:hAnsi="Century Gothic" w:cs="Arial"/>
          <w:lang w:eastAsia="es-AR"/>
        </w:rPr>
      </w:pPr>
      <w:r w:rsidRPr="00602B22">
        <w:rPr>
          <w:rFonts w:ascii="Century Gothic" w:eastAsia="Times New Roman" w:hAnsi="Century Gothic" w:cs="Arial"/>
          <w:lang w:eastAsia="es-AR"/>
        </w:rPr>
        <w:t>Antigüedad</w:t>
      </w:r>
    </w:p>
    <w:p w:rsidR="00E511F9" w:rsidRPr="00602B22" w:rsidRDefault="00E511F9" w:rsidP="00E511F9">
      <w:pPr>
        <w:pStyle w:val="Prrafodelista"/>
        <w:numPr>
          <w:ilvl w:val="0"/>
          <w:numId w:val="1"/>
        </w:numPr>
        <w:shd w:val="clear" w:color="auto" w:fill="FFFFFF"/>
        <w:spacing w:after="0" w:line="288" w:lineRule="auto"/>
        <w:rPr>
          <w:rFonts w:ascii="Century Gothic" w:eastAsia="Times New Roman" w:hAnsi="Century Gothic" w:cs="Arial"/>
          <w:lang w:eastAsia="es-AR"/>
        </w:rPr>
      </w:pPr>
      <w:r w:rsidRPr="00602B22">
        <w:rPr>
          <w:rFonts w:ascii="Century Gothic" w:eastAsia="Times New Roman" w:hAnsi="Century Gothic" w:cs="Arial"/>
          <w:lang w:eastAsia="es-AR"/>
        </w:rPr>
        <w:t>Cargo/s desempeñado/s</w:t>
      </w:r>
    </w:p>
    <w:p w:rsidR="00E511F9" w:rsidRPr="00602B22" w:rsidRDefault="00E511F9" w:rsidP="00E511F9">
      <w:pPr>
        <w:pStyle w:val="Prrafodelista"/>
        <w:numPr>
          <w:ilvl w:val="0"/>
          <w:numId w:val="1"/>
        </w:numPr>
        <w:shd w:val="clear" w:color="auto" w:fill="FFFFFF"/>
        <w:spacing w:after="0" w:line="288" w:lineRule="auto"/>
        <w:rPr>
          <w:rFonts w:ascii="Century Gothic" w:eastAsia="Times New Roman" w:hAnsi="Century Gothic" w:cs="Arial"/>
          <w:lang w:eastAsia="es-AR"/>
        </w:rPr>
      </w:pPr>
      <w:r w:rsidRPr="00602B22">
        <w:rPr>
          <w:rFonts w:ascii="Century Gothic" w:eastAsia="Times New Roman" w:hAnsi="Century Gothic" w:cs="Arial"/>
          <w:lang w:eastAsia="es-AR"/>
        </w:rPr>
        <w:t xml:space="preserve">Deberán manifestar explícitamente modo en que accedió al cargo (por concurso o designación directa) </w:t>
      </w:r>
    </w:p>
    <w:p w:rsidR="00E511F9" w:rsidRPr="00602B22" w:rsidRDefault="00E511F9" w:rsidP="00E511F9">
      <w:pPr>
        <w:pStyle w:val="Prrafodelista"/>
        <w:shd w:val="clear" w:color="auto" w:fill="FFFFFF"/>
        <w:spacing w:after="0" w:line="288" w:lineRule="auto"/>
        <w:rPr>
          <w:rFonts w:ascii="Century Gothic" w:eastAsia="Times New Roman" w:hAnsi="Century Gothic" w:cs="Arial"/>
          <w:lang w:eastAsia="es-AR"/>
        </w:rPr>
      </w:pP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 xml:space="preserve">A) Las escalas se aplican a las carreras de grado, indicándose el puntaje máximo hasta el cual podrá aspirarse según el caso. El postulante sólo recibe el puntaje referido en cada casillero cuando demuestre, mediante la certificación </w:t>
      </w:r>
      <w:r w:rsidRPr="00602B22">
        <w:rPr>
          <w:rFonts w:ascii="Century Gothic" w:hAnsi="Century Gothic" w:cs="Arial"/>
          <w:sz w:val="22"/>
          <w:szCs w:val="22"/>
        </w:rPr>
        <w:lastRenderedPageBreak/>
        <w:t>correspondiente, una antigüedad mínima de tres (3) años y, de no reunirse este requisito, se aplica el del casillero inmediato anterior, siempre que acredite una antigüedad mínima de un (1) año. En todos los casos, las materias deberán desarrollarse en el contexto de la carrera de abogacía u otras carreras de posgrado del campo de las ciencias jurídicas. Para el caso del ejercicio de la docencia en materias jurídicas en carreras ajenas a esta disciplina, el Consejo evaluará en cada caso, los programas de las asignaturas y el lugar que éstas ocupan en el plan curricular de la carrera en que se insertan, para finalmente evaluar si corresponde o no la asignación del puntaje previsto.</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En relación con el desempeño docente en el nivel de posgrado, se asignará el mismo puntaje previsto para el cargo de Profesor Adjunto por designación directa, siempre que se acredite una antigüedad mínima de tres (3) años. En caso de no reunir dicha antigüedad, el desempeño será calificado conforme al puntaje correspondiente al cargo de JTP por designación directa.</w:t>
      </w:r>
    </w:p>
    <w:p w:rsidR="00E511F9" w:rsidRPr="00602B22" w:rsidRDefault="00E511F9" w:rsidP="00E511F9">
      <w:pPr>
        <w:shd w:val="clear" w:color="auto" w:fill="FFFFFF"/>
        <w:spacing w:line="288" w:lineRule="auto"/>
        <w:jc w:val="both"/>
        <w:rPr>
          <w:rFonts w:ascii="Century Gothic" w:hAnsi="Century Gothic" w:cs="Arial"/>
          <w:sz w:val="22"/>
          <w:szCs w:val="22"/>
        </w:rPr>
      </w:pP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xml:space="preserve">Docente por concurso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10"/>
        <w:gridCol w:w="2014"/>
        <w:gridCol w:w="1366"/>
        <w:gridCol w:w="1423"/>
        <w:gridCol w:w="1343"/>
      </w:tblGrid>
      <w:tr w:rsidR="00E511F9" w:rsidRPr="00602B22" w:rsidTr="00532121">
        <w:trPr>
          <w:tblCellSpacing w:w="0" w:type="dxa"/>
        </w:trPr>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Materia</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Titular, Pro-titular o Asociado</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Adjunto</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J.T.P. o equivalente</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Ayudante</w:t>
            </w:r>
          </w:p>
        </w:tc>
      </w:tr>
      <w:tr w:rsidR="00E511F9" w:rsidRPr="00602B22" w:rsidTr="00532121">
        <w:trPr>
          <w:tblCellSpacing w:w="0" w:type="dxa"/>
        </w:trPr>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Misma especialidad</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3</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2,20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1,40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0,60</w:t>
            </w:r>
          </w:p>
        </w:tc>
      </w:tr>
      <w:tr w:rsidR="00E511F9" w:rsidRPr="00602B22" w:rsidTr="00532121">
        <w:trPr>
          <w:tblCellSpacing w:w="0" w:type="dxa"/>
        </w:trPr>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Misma rama del Derecho</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2,20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1,40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0,60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0,20</w:t>
            </w:r>
          </w:p>
        </w:tc>
      </w:tr>
      <w:tr w:rsidR="00E511F9" w:rsidRPr="00602B22" w:rsidTr="00532121">
        <w:trPr>
          <w:tblCellSpacing w:w="0" w:type="dxa"/>
        </w:trPr>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Otra rama del Derecho</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1,40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0,60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0,20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w:t>
            </w:r>
          </w:p>
        </w:tc>
      </w:tr>
    </w:tbl>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Docente por designación directa</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10"/>
        <w:gridCol w:w="2014"/>
        <w:gridCol w:w="1366"/>
        <w:gridCol w:w="1423"/>
        <w:gridCol w:w="1343"/>
      </w:tblGrid>
      <w:tr w:rsidR="00E511F9" w:rsidRPr="00602B22" w:rsidTr="00532121">
        <w:trPr>
          <w:tblCellSpacing w:w="0" w:type="dxa"/>
        </w:trPr>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Materia</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Titular, Pro-titular o Asociado</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Adjunto</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J.T.P. o equivalente</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Ayudante</w:t>
            </w:r>
          </w:p>
        </w:tc>
      </w:tr>
      <w:tr w:rsidR="00E511F9" w:rsidRPr="00602B22" w:rsidTr="00532121">
        <w:trPr>
          <w:tblCellSpacing w:w="0" w:type="dxa"/>
        </w:trPr>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Misma especialidad</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2,20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1,40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0,60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 xml:space="preserve">        0,20</w:t>
            </w:r>
          </w:p>
        </w:tc>
      </w:tr>
      <w:tr w:rsidR="00E511F9" w:rsidRPr="00602B22" w:rsidTr="00532121">
        <w:trPr>
          <w:tblCellSpacing w:w="0" w:type="dxa"/>
        </w:trPr>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Misma rama del Derecho</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1,40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0,60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0,20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w:t>
            </w:r>
          </w:p>
        </w:tc>
      </w:tr>
      <w:tr w:rsidR="00E511F9" w:rsidRPr="00602B22" w:rsidTr="00532121">
        <w:trPr>
          <w:tblCellSpacing w:w="0" w:type="dxa"/>
        </w:trPr>
        <w:tc>
          <w:tcPr>
            <w:tcW w:w="31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Otra rama del Derecho</w:t>
            </w:r>
          </w:p>
        </w:tc>
        <w:tc>
          <w:tcPr>
            <w:tcW w:w="21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0,60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0,20</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w:t>
            </w:r>
          </w:p>
        </w:tc>
      </w:tr>
    </w:tbl>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w:t>
      </w: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B) A la docencia en carácter de profesor invitado o tutor y el dictado de talleres y/o capacitaciones, se les asignará un puntaje global de 0,10 puntos por cada concepto. Asimismo, cuando se registre desempeño como docente en el nivel superior no universitario, se asignará idéntico puntaje, siempre que la antigüedad mínima en la función sea de 1 año.</w:t>
      </w:r>
    </w:p>
    <w:p w:rsidR="00E511F9" w:rsidRPr="00602B22" w:rsidRDefault="00E511F9" w:rsidP="00E511F9">
      <w:pPr>
        <w:shd w:val="clear" w:color="auto" w:fill="FFFFFF"/>
        <w:spacing w:line="288" w:lineRule="auto"/>
        <w:rPr>
          <w:rFonts w:ascii="Century Gothic" w:hAnsi="Century Gothic" w:cs="Arial"/>
          <w:sz w:val="22"/>
          <w:szCs w:val="22"/>
        </w:rPr>
      </w:pPr>
    </w:p>
    <w:p w:rsidR="00E511F9" w:rsidRPr="00602B22" w:rsidRDefault="00E511F9" w:rsidP="00E511F9">
      <w:pPr>
        <w:shd w:val="clear" w:color="auto" w:fill="FFFFFF"/>
        <w:spacing w:line="288" w:lineRule="auto"/>
        <w:jc w:val="both"/>
        <w:rPr>
          <w:rFonts w:ascii="Century Gothic" w:hAnsi="Century Gothic" w:cs="Arial"/>
          <w:strike/>
          <w:sz w:val="22"/>
          <w:szCs w:val="22"/>
        </w:rPr>
      </w:pPr>
      <w:r w:rsidRPr="00602B22">
        <w:rPr>
          <w:rFonts w:ascii="Century Gothic" w:hAnsi="Century Gothic" w:cs="Arial"/>
          <w:sz w:val="22"/>
          <w:szCs w:val="22"/>
        </w:rPr>
        <w:t>C) Las conferencias y disertaciones se evaluarán teniendo en cuenta su ámbito de desarrollo y temática abordada. El puntaje máximo en este ítem no podrá exceder el tope de 1 punto. La escala de puntajes es la siguiente:</w:t>
      </w: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sz w:val="22"/>
          <w:szCs w:val="22"/>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5"/>
        <w:gridCol w:w="1620"/>
        <w:gridCol w:w="1620"/>
        <w:gridCol w:w="1380"/>
      </w:tblGrid>
      <w:tr w:rsidR="00E511F9" w:rsidRPr="00602B22" w:rsidTr="00532121">
        <w:trPr>
          <w:tblCellSpacing w:w="0" w:type="dxa"/>
        </w:trPr>
        <w:tc>
          <w:tcPr>
            <w:tcW w:w="34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Materia</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10 o más</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Entre 5 y 9</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Hasta 4</w:t>
            </w:r>
          </w:p>
        </w:tc>
      </w:tr>
      <w:tr w:rsidR="00E511F9" w:rsidRPr="00602B22" w:rsidTr="00532121">
        <w:trPr>
          <w:tblCellSpacing w:w="0" w:type="dxa"/>
        </w:trPr>
        <w:tc>
          <w:tcPr>
            <w:tcW w:w="34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Misma especialidad</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1</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0,60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0,25</w:t>
            </w:r>
          </w:p>
        </w:tc>
      </w:tr>
      <w:tr w:rsidR="00E511F9" w:rsidRPr="00602B22" w:rsidTr="00532121">
        <w:trPr>
          <w:tblCellSpacing w:w="0" w:type="dxa"/>
        </w:trPr>
        <w:tc>
          <w:tcPr>
            <w:tcW w:w="34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Misma rama del Derecho</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0,60</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0,40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w:t>
            </w:r>
          </w:p>
        </w:tc>
      </w:tr>
      <w:tr w:rsidR="00E511F9" w:rsidRPr="00602B22" w:rsidTr="00532121">
        <w:trPr>
          <w:tblCellSpacing w:w="0" w:type="dxa"/>
        </w:trPr>
        <w:tc>
          <w:tcPr>
            <w:tcW w:w="34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r w:rsidRPr="00602B22">
              <w:rPr>
                <w:rFonts w:ascii="Century Gothic" w:hAnsi="Century Gothic" w:cs="Arial"/>
                <w:sz w:val="22"/>
                <w:szCs w:val="22"/>
              </w:rPr>
              <w:t>Otra rama del Derecho</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0,40</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jc w:val="center"/>
              <w:rPr>
                <w:rFonts w:ascii="Century Gothic" w:hAnsi="Century Gothic" w:cs="Arial"/>
                <w:sz w:val="22"/>
                <w:szCs w:val="22"/>
              </w:rPr>
            </w:pPr>
            <w:r w:rsidRPr="00602B22">
              <w:rPr>
                <w:rFonts w:ascii="Century Gothic" w:hAnsi="Century Gothic" w:cs="Arial"/>
                <w:sz w:val="22"/>
                <w:szCs w:val="22"/>
              </w:rPr>
              <w:t>0,20</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511F9" w:rsidRPr="00602B22" w:rsidRDefault="00E511F9" w:rsidP="00532121">
            <w:pPr>
              <w:spacing w:line="288" w:lineRule="auto"/>
              <w:rPr>
                <w:rFonts w:ascii="Century Gothic" w:hAnsi="Century Gothic" w:cs="Arial"/>
                <w:sz w:val="22"/>
                <w:szCs w:val="22"/>
              </w:rPr>
            </w:pPr>
          </w:p>
        </w:tc>
      </w:tr>
    </w:tbl>
    <w:p w:rsidR="00E511F9" w:rsidRPr="00602B22" w:rsidRDefault="00E511F9" w:rsidP="00E511F9">
      <w:pPr>
        <w:spacing w:line="288" w:lineRule="auto"/>
        <w:rPr>
          <w:rFonts w:ascii="Century Gothic" w:hAnsi="Century Gothic" w:cs="Arial"/>
          <w:sz w:val="22"/>
          <w:szCs w:val="22"/>
        </w:rPr>
      </w:pPr>
    </w:p>
    <w:p w:rsidR="00E511F9" w:rsidRPr="00602B22" w:rsidRDefault="00E511F9" w:rsidP="00E511F9">
      <w:pPr>
        <w:shd w:val="clear" w:color="auto" w:fill="FFFFFF"/>
        <w:spacing w:line="288" w:lineRule="auto"/>
        <w:rPr>
          <w:rFonts w:ascii="Century Gothic" w:hAnsi="Century Gothic" w:cs="Arial"/>
          <w:sz w:val="22"/>
          <w:szCs w:val="22"/>
        </w:rPr>
      </w:pPr>
      <w:r w:rsidRPr="00602B22">
        <w:rPr>
          <w:rFonts w:ascii="Century Gothic" w:hAnsi="Century Gothic" w:cs="Arial"/>
          <w:b/>
          <w:sz w:val="22"/>
          <w:szCs w:val="22"/>
        </w:rPr>
        <w:t>7.</w:t>
      </w:r>
      <w:r w:rsidRPr="00602B22">
        <w:rPr>
          <w:rFonts w:ascii="Century Gothic" w:hAnsi="Century Gothic" w:cs="Arial"/>
          <w:sz w:val="22"/>
          <w:szCs w:val="22"/>
        </w:rPr>
        <w:t xml:space="preserve"> ESCUELA JUDICIAL</w:t>
      </w:r>
    </w:p>
    <w:p w:rsidR="00E511F9" w:rsidRPr="00602B22" w:rsidRDefault="00E511F9" w:rsidP="00E511F9">
      <w:pPr>
        <w:shd w:val="clear" w:color="auto" w:fill="FFFFFF"/>
        <w:spacing w:line="288" w:lineRule="auto"/>
        <w:jc w:val="both"/>
        <w:rPr>
          <w:rFonts w:ascii="Century Gothic" w:hAnsi="Century Gothic" w:cs="Arial"/>
          <w:sz w:val="22"/>
          <w:szCs w:val="22"/>
        </w:rPr>
      </w:pPr>
    </w:p>
    <w:p w:rsidR="00E511F9" w:rsidRPr="00602B22" w:rsidRDefault="00E511F9" w:rsidP="00E511F9">
      <w:pPr>
        <w:shd w:val="clear" w:color="auto" w:fill="FFFFFF"/>
        <w:spacing w:line="288" w:lineRule="auto"/>
        <w:jc w:val="both"/>
        <w:rPr>
          <w:rFonts w:ascii="Century Gothic" w:hAnsi="Century Gothic" w:cs="Arial"/>
          <w:sz w:val="22"/>
          <w:szCs w:val="22"/>
        </w:rPr>
      </w:pPr>
      <w:r w:rsidRPr="00602B22">
        <w:rPr>
          <w:rFonts w:ascii="Century Gothic" w:hAnsi="Century Gothic" w:cs="Arial"/>
          <w:sz w:val="22"/>
          <w:szCs w:val="22"/>
        </w:rPr>
        <w:t>El Consejo podrá delegar en su Presidencia la suscripción de convenios con universidades públicas o privadas, así como con otras instituciones dedicadas a la formación y/o capacitación, con el objeto de ampliar y fortalecer la oferta académica de la Escuela Judicial. Asimismo, se establecerá mediante el plan curricular, la carga horaria y los programas aplicables a los estudios que se reconozcan en dicho marco.</w:t>
      </w:r>
    </w:p>
    <w:p w:rsidR="00E511F9" w:rsidRPr="00602B22" w:rsidRDefault="00E511F9" w:rsidP="00E511F9">
      <w:pPr>
        <w:shd w:val="clear" w:color="auto" w:fill="FFFFFF"/>
        <w:spacing w:line="288" w:lineRule="auto"/>
        <w:jc w:val="both"/>
        <w:rPr>
          <w:rFonts w:ascii="Century Gothic" w:hAnsi="Century Gothic" w:cs="Arial"/>
          <w:sz w:val="22"/>
          <w:szCs w:val="22"/>
        </w:rPr>
      </w:pPr>
    </w:p>
    <w:p w:rsidR="00E511F9" w:rsidRPr="00602B22" w:rsidRDefault="00E511F9" w:rsidP="00E511F9">
      <w:pPr>
        <w:spacing w:line="288" w:lineRule="auto"/>
        <w:rPr>
          <w:rFonts w:ascii="Century Gothic" w:hAnsi="Century Gothic" w:cs="Arial"/>
          <w:sz w:val="22"/>
          <w:szCs w:val="22"/>
        </w:rPr>
      </w:pPr>
    </w:p>
    <w:p w:rsidR="00E511F9" w:rsidRPr="00602B22" w:rsidRDefault="00E511F9" w:rsidP="00E511F9">
      <w:pPr>
        <w:pStyle w:val="Prrafodelista"/>
        <w:numPr>
          <w:ilvl w:val="0"/>
          <w:numId w:val="3"/>
        </w:numPr>
        <w:spacing w:line="288" w:lineRule="auto"/>
        <w:ind w:left="284" w:hanging="284"/>
        <w:rPr>
          <w:rFonts w:ascii="Century Gothic" w:eastAsia="Times New Roman" w:hAnsi="Century Gothic" w:cs="Arial"/>
          <w:b/>
          <w:bCs/>
          <w:lang w:eastAsia="es-AR"/>
        </w:rPr>
      </w:pPr>
      <w:r w:rsidRPr="00602B22">
        <w:rPr>
          <w:rFonts w:ascii="Century Gothic" w:eastAsia="Times New Roman" w:hAnsi="Century Gothic" w:cs="Arial"/>
          <w:b/>
          <w:bCs/>
          <w:lang w:eastAsia="es-AR"/>
        </w:rPr>
        <w:t xml:space="preserve"> RUBRO TAREAS DE CUIDADO CON PERSPECTIVA DE GÉNERO</w:t>
      </w:r>
    </w:p>
    <w:p w:rsidR="00E511F9" w:rsidRPr="00602B22" w:rsidRDefault="00E511F9" w:rsidP="00E511F9">
      <w:pPr>
        <w:spacing w:line="288" w:lineRule="auto"/>
        <w:rPr>
          <w:rFonts w:ascii="Century Gothic" w:hAnsi="Century Gothic" w:cs="Arial"/>
          <w:b/>
          <w:bCs/>
          <w:sz w:val="22"/>
          <w:szCs w:val="22"/>
        </w:rPr>
      </w:pPr>
    </w:p>
    <w:p w:rsidR="00E511F9" w:rsidRPr="00602B22" w:rsidRDefault="00E511F9" w:rsidP="00E511F9">
      <w:pPr>
        <w:shd w:val="clear" w:color="auto" w:fill="FFFFFF"/>
        <w:spacing w:line="288" w:lineRule="auto"/>
        <w:jc w:val="both"/>
        <w:rPr>
          <w:rFonts w:ascii="Century Gothic" w:hAnsi="Century Gothic"/>
          <w:sz w:val="22"/>
          <w:szCs w:val="22"/>
        </w:rPr>
      </w:pPr>
      <w:r w:rsidRPr="00602B22">
        <w:rPr>
          <w:rFonts w:ascii="Century Gothic" w:hAnsi="Century Gothic"/>
          <w:sz w:val="22"/>
          <w:szCs w:val="22"/>
        </w:rPr>
        <w:t xml:space="preserve">Se asignará a las concursantes mujeres una calificación de 0,20 puntos por cada hijo/a menor de edad a su cargo, debiendo acreditar tal circunstancia al momento de la inscripción, mediante la presentación de copia certificada del acta de nacimiento correspondiente. Dicho puntaje se duplicará cuando se acredite discapacidad del menor, mediante la presentación del </w:t>
      </w:r>
      <w:r w:rsidRPr="00602B22">
        <w:rPr>
          <w:rFonts w:ascii="Century Gothic" w:hAnsi="Century Gothic" w:cs="Verdana"/>
          <w:bCs/>
          <w:iCs/>
          <w:sz w:val="22"/>
          <w:szCs w:val="22"/>
        </w:rPr>
        <w:t>Certificado Único de Discapacidad, expedido por la autoridad competente</w:t>
      </w:r>
      <w:r w:rsidRPr="00602B22">
        <w:rPr>
          <w:rFonts w:ascii="Century Gothic" w:hAnsi="Century Gothic"/>
          <w:sz w:val="22"/>
          <w:szCs w:val="22"/>
        </w:rPr>
        <w:t xml:space="preserve">. El postulante varón podrá acreditar -al momento de la inscripción y mediante la documentación pertinente- que se encuentra a su exclusivo cargo el cuidado de hijos/hijas menores de edad, supuesto en el cual se aplicará </w:t>
      </w:r>
      <w:proofErr w:type="gramStart"/>
      <w:r w:rsidRPr="00602B22">
        <w:rPr>
          <w:rFonts w:ascii="Century Gothic" w:hAnsi="Century Gothic"/>
          <w:sz w:val="22"/>
          <w:szCs w:val="22"/>
        </w:rPr>
        <w:t>idéntica  escala</w:t>
      </w:r>
      <w:proofErr w:type="gramEnd"/>
      <w:r w:rsidRPr="00602B22">
        <w:rPr>
          <w:rFonts w:ascii="Century Gothic" w:hAnsi="Century Gothic"/>
          <w:sz w:val="22"/>
          <w:szCs w:val="22"/>
        </w:rPr>
        <w:t xml:space="preserve"> de puntaje.</w:t>
      </w:r>
    </w:p>
    <w:p w:rsidR="00E511F9" w:rsidRPr="00602B22" w:rsidRDefault="00E511F9" w:rsidP="00E511F9">
      <w:pPr>
        <w:spacing w:line="288" w:lineRule="auto"/>
        <w:jc w:val="both"/>
        <w:rPr>
          <w:rFonts w:ascii="Century Gothic" w:hAnsi="Century Gothic"/>
          <w:sz w:val="22"/>
          <w:szCs w:val="22"/>
        </w:rPr>
      </w:pPr>
    </w:p>
    <w:p w:rsidR="0004505E" w:rsidRDefault="00107FB6"/>
    <w:sectPr w:rsidR="0004505E" w:rsidSect="003A20B9">
      <w:headerReference w:type="default" r:id="rId7"/>
      <w:footerReference w:type="default" r:id="rId8"/>
      <w:pgSz w:w="11907" w:h="16840" w:code="9"/>
      <w:pgMar w:top="3686" w:right="1134" w:bottom="1418"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FB6" w:rsidRDefault="00107FB6" w:rsidP="00E511F9">
      <w:r>
        <w:separator/>
      </w:r>
    </w:p>
  </w:endnote>
  <w:endnote w:type="continuationSeparator" w:id="0">
    <w:p w:rsidR="00107FB6" w:rsidRDefault="00107FB6" w:rsidP="00E5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C8" w:rsidRPr="00627A56" w:rsidRDefault="00107FB6" w:rsidP="00E511F9">
    <w:pPr>
      <w:pStyle w:val="Piedepgina"/>
      <w:rPr>
        <w:rFonts w:ascii="Century Gothic" w:hAnsi="Century Gothic"/>
        <w:sz w:val="22"/>
        <w:szCs w:val="22"/>
      </w:rPr>
    </w:pPr>
  </w:p>
  <w:p w:rsidR="007528C8" w:rsidRDefault="00107F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FB6" w:rsidRDefault="00107FB6" w:rsidP="00E511F9">
      <w:r>
        <w:separator/>
      </w:r>
    </w:p>
  </w:footnote>
  <w:footnote w:type="continuationSeparator" w:id="0">
    <w:p w:rsidR="00107FB6" w:rsidRDefault="00107FB6" w:rsidP="00E51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8C8" w:rsidRPr="00396CDF" w:rsidRDefault="00107FB6" w:rsidP="00B768EB">
    <w:pPr>
      <w:pStyle w:val="Encabezado"/>
      <w:jc w:val="right"/>
      <w:rPr>
        <w:rFonts w:ascii="Century Gothic" w:hAnsi="Century Gothic"/>
        <w:b/>
      </w:rPr>
    </w:pPr>
  </w:p>
  <w:p w:rsidR="007528C8" w:rsidRDefault="00107FB6" w:rsidP="00B768EB">
    <w:pPr>
      <w:pStyle w:val="Encabezado"/>
      <w:jc w:val="right"/>
      <w:rPr>
        <w:rFonts w:ascii="Century Gothic" w:hAnsi="Century Gothic"/>
        <w:b/>
        <w:lang w:val="es-ES"/>
      </w:rPr>
    </w:pPr>
  </w:p>
  <w:p w:rsidR="007528C8" w:rsidRDefault="00107FB6" w:rsidP="00B768EB">
    <w:pPr>
      <w:pStyle w:val="Encabezado"/>
      <w:jc w:val="right"/>
      <w:rPr>
        <w:rFonts w:ascii="Century Gothic" w:hAnsi="Century Gothic"/>
        <w:b/>
        <w:lang w:val="es-ES"/>
      </w:rPr>
    </w:pPr>
  </w:p>
  <w:p w:rsidR="007528C8" w:rsidRDefault="00107FB6" w:rsidP="00B768EB">
    <w:pPr>
      <w:pStyle w:val="Encabezado"/>
      <w:jc w:val="right"/>
      <w:rPr>
        <w:rFonts w:ascii="Century Gothic" w:hAnsi="Century Gothic"/>
        <w:b/>
        <w:lang w:val="es-ES"/>
      </w:rPr>
    </w:pPr>
  </w:p>
  <w:p w:rsidR="007528C8" w:rsidRDefault="00107FB6" w:rsidP="00B768EB">
    <w:pPr>
      <w:pStyle w:val="Encabezado"/>
      <w:jc w:val="right"/>
      <w:rPr>
        <w:rFonts w:ascii="Century Gothic" w:hAnsi="Century Gothic"/>
        <w:b/>
        <w:lang w:val="es-ES"/>
      </w:rPr>
    </w:pPr>
  </w:p>
  <w:p w:rsidR="007528C8" w:rsidRDefault="00107FB6" w:rsidP="00B768EB">
    <w:pPr>
      <w:pStyle w:val="Encabezado"/>
      <w:jc w:val="right"/>
      <w:rPr>
        <w:rFonts w:ascii="Century Gothic" w:hAnsi="Century Gothic"/>
        <w:b/>
        <w:lang w:val="es-ES"/>
      </w:rPr>
    </w:pPr>
  </w:p>
  <w:p w:rsidR="00CA7F25" w:rsidRDefault="00107FB6" w:rsidP="009D630E">
    <w:pPr>
      <w:pStyle w:val="Encabezado"/>
      <w:jc w:val="right"/>
      <w:rPr>
        <w:rFonts w:ascii="Century Gothic" w:hAnsi="Century Gothic"/>
        <w:b/>
        <w:sz w:val="22"/>
        <w:szCs w:val="22"/>
        <w:u w:val="single"/>
        <w:lang w:val="es-ES"/>
      </w:rPr>
    </w:pPr>
  </w:p>
  <w:p w:rsidR="00CA7F25" w:rsidRDefault="00107FB6" w:rsidP="009D630E">
    <w:pPr>
      <w:pStyle w:val="Encabezado"/>
      <w:jc w:val="right"/>
      <w:rPr>
        <w:rFonts w:ascii="Century Gothic" w:hAnsi="Century Gothic"/>
        <w:b/>
        <w:sz w:val="22"/>
        <w:szCs w:val="22"/>
        <w:u w:val="single"/>
        <w:lang w:val="es-ES"/>
      </w:rPr>
    </w:pPr>
  </w:p>
  <w:p w:rsidR="007528C8" w:rsidRPr="00627A56" w:rsidRDefault="00107FB6" w:rsidP="00E511F9">
    <w:pPr>
      <w:pStyle w:val="Encabezado"/>
      <w:rPr>
        <w:rFonts w:ascii="Century Gothic" w:hAnsi="Century Gothic"/>
        <w:b/>
        <w:sz w:val="22"/>
        <w:szCs w:val="22"/>
        <w:u w:val="single"/>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C5106F"/>
    <w:multiLevelType w:val="hybridMultilevel"/>
    <w:tmpl w:val="583A1D92"/>
    <w:lvl w:ilvl="0" w:tplc="1C88137C">
      <w:start w:val="2"/>
      <w:numFmt w:val="bullet"/>
      <w:lvlText w:val="-"/>
      <w:lvlJc w:val="left"/>
      <w:pPr>
        <w:ind w:left="720" w:hanging="360"/>
      </w:pPr>
      <w:rPr>
        <w:rFonts w:ascii="Century Gothic" w:eastAsia="Times New Roman" w:hAnsi="Century Gothic"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0F207B1"/>
    <w:multiLevelType w:val="hybridMultilevel"/>
    <w:tmpl w:val="5FBAD4B4"/>
    <w:lvl w:ilvl="0" w:tplc="97BEF82C">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25B6E8E"/>
    <w:multiLevelType w:val="hybridMultilevel"/>
    <w:tmpl w:val="24FE7040"/>
    <w:lvl w:ilvl="0" w:tplc="68FE3A88">
      <w:start w:val="1"/>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F9"/>
    <w:rsid w:val="0009033A"/>
    <w:rsid w:val="00107FB6"/>
    <w:rsid w:val="00396BF5"/>
    <w:rsid w:val="00E511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56A05-0FE1-430D-97FA-089DB609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F9"/>
    <w:pPr>
      <w:spacing w:after="0" w:line="240" w:lineRule="auto"/>
    </w:pPr>
    <w:rPr>
      <w:rFonts w:ascii="Times New Roman" w:eastAsia="Times New Roman" w:hAnsi="Times New Roman" w:cs="Times New Roman"/>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511F9"/>
    <w:pPr>
      <w:tabs>
        <w:tab w:val="center" w:pos="4419"/>
        <w:tab w:val="right" w:pos="8838"/>
      </w:tabs>
    </w:pPr>
    <w:rPr>
      <w:sz w:val="20"/>
      <w:szCs w:val="20"/>
    </w:rPr>
  </w:style>
  <w:style w:type="character" w:customStyle="1" w:styleId="EncabezadoCar">
    <w:name w:val="Encabezado Car"/>
    <w:basedOn w:val="Fuentedeprrafopredeter"/>
    <w:link w:val="Encabezado"/>
    <w:uiPriority w:val="99"/>
    <w:rsid w:val="00E511F9"/>
    <w:rPr>
      <w:rFonts w:ascii="Times New Roman" w:eastAsia="Times New Roman" w:hAnsi="Times New Roman" w:cs="Times New Roman"/>
      <w:sz w:val="20"/>
      <w:szCs w:val="20"/>
      <w:lang w:eastAsia="es-AR"/>
    </w:rPr>
  </w:style>
  <w:style w:type="paragraph" w:styleId="Piedepgina">
    <w:name w:val="footer"/>
    <w:basedOn w:val="Normal"/>
    <w:link w:val="PiedepginaCar"/>
    <w:uiPriority w:val="99"/>
    <w:unhideWhenUsed/>
    <w:rsid w:val="00E511F9"/>
    <w:pPr>
      <w:tabs>
        <w:tab w:val="center" w:pos="4419"/>
        <w:tab w:val="right" w:pos="8838"/>
      </w:tabs>
    </w:pPr>
  </w:style>
  <w:style w:type="character" w:customStyle="1" w:styleId="PiedepginaCar">
    <w:name w:val="Pie de página Car"/>
    <w:basedOn w:val="Fuentedeprrafopredeter"/>
    <w:link w:val="Piedepgina"/>
    <w:uiPriority w:val="99"/>
    <w:rsid w:val="00E511F9"/>
    <w:rPr>
      <w:rFonts w:ascii="Times New Roman" w:eastAsia="Times New Roman" w:hAnsi="Times New Roman" w:cs="Times New Roman"/>
      <w:sz w:val="24"/>
      <w:szCs w:val="24"/>
      <w:lang w:eastAsia="es-AR"/>
    </w:rPr>
  </w:style>
  <w:style w:type="paragraph" w:styleId="NormalWeb">
    <w:name w:val="Normal (Web)"/>
    <w:basedOn w:val="Normal"/>
    <w:uiPriority w:val="99"/>
    <w:unhideWhenUsed/>
    <w:rsid w:val="00E511F9"/>
    <w:pPr>
      <w:spacing w:before="100" w:beforeAutospacing="1" w:after="100" w:afterAutospacing="1"/>
    </w:pPr>
    <w:rPr>
      <w:lang w:val="es-ES" w:eastAsia="es-ES"/>
    </w:rPr>
  </w:style>
  <w:style w:type="character" w:styleId="Textoennegrita">
    <w:name w:val="Strong"/>
    <w:uiPriority w:val="22"/>
    <w:qFormat/>
    <w:rsid w:val="00E511F9"/>
    <w:rPr>
      <w:b/>
      <w:bCs/>
    </w:rPr>
  </w:style>
  <w:style w:type="paragraph" w:styleId="Prrafodelista">
    <w:name w:val="List Paragraph"/>
    <w:basedOn w:val="Normal"/>
    <w:uiPriority w:val="34"/>
    <w:qFormat/>
    <w:rsid w:val="00E511F9"/>
    <w:pPr>
      <w:spacing w:after="200" w:line="276" w:lineRule="auto"/>
      <w:ind w:left="720"/>
      <w:contextualSpacing/>
    </w:pPr>
    <w:rPr>
      <w:rFonts w:ascii="Calibri" w:eastAsia="Calibri" w:hAnsi="Calibri"/>
      <w:sz w:val="22"/>
      <w:szCs w:val="22"/>
      <w:lang w:eastAsia="en-US"/>
    </w:rPr>
  </w:style>
  <w:style w:type="paragraph" w:customStyle="1" w:styleId="Textbody">
    <w:name w:val="Text body"/>
    <w:basedOn w:val="Normal"/>
    <w:rsid w:val="00E511F9"/>
    <w:pPr>
      <w:widowControl w:val="0"/>
      <w:suppressAutoHyphens/>
      <w:autoSpaceDN w:val="0"/>
      <w:spacing w:after="120"/>
      <w:textAlignment w:val="baseline"/>
    </w:pPr>
    <w:rPr>
      <w:rFonts w:eastAsia="SimSun" w:cs="Mang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3034</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2026-05-21T12:12:00Z</dcterms:created>
  <dcterms:modified xsi:type="dcterms:W3CDTF">2026-05-21T12:16:00Z</dcterms:modified>
</cp:coreProperties>
</file>